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06783A" w:rsidRDefault="002066CD" w:rsidP="009C5ABA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25011B28" w14:textId="77777777" w:rsidR="00640803" w:rsidRPr="0006783A" w:rsidRDefault="00640803" w:rsidP="009C5ABA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77777777" w:rsidR="00B61E6C" w:rsidRDefault="00B61E6C" w:rsidP="004C097F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r w:rsidRPr="00B61E6C">
        <w:rPr>
          <w:rFonts w:eastAsia="Times New Roman" w:cs="Arial"/>
          <w:b/>
          <w:kern w:val="0"/>
          <w:sz w:val="32"/>
          <w:szCs w:val="20"/>
          <w:lang w:val="hu-HU" w:bidi="hu-HU"/>
        </w:rPr>
        <w:t>A Hankook Tire nyilvánosságra hozta 2022. első negyedévének pénzügyi eredményeit</w:t>
      </w:r>
    </w:p>
    <w:p w14:paraId="2D150DF5" w14:textId="77777777" w:rsidR="00B61E6C" w:rsidRPr="00B61E6C" w:rsidRDefault="00B61E6C" w:rsidP="00B61E6C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color w:val="00000A"/>
          <w:kern w:val="0"/>
          <w:sz w:val="22"/>
          <w:szCs w:val="22"/>
          <w:lang w:val="en-GB" w:eastAsia="en-GB" w:bidi="en-GB"/>
        </w:rPr>
      </w:pPr>
    </w:p>
    <w:p w14:paraId="6B4D460E" w14:textId="4E46FCA3" w:rsidR="00B61E6C" w:rsidRPr="00C7607C" w:rsidRDefault="00B61E6C" w:rsidP="00B61E6C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B61E6C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Az előző év azonos időszakához képest (YoY) 10,8%-os emelkedést mutatva az</w:t>
      </w:r>
      <w:r w:rsidR="00CE7B2A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 xml:space="preserve"> </w:t>
      </w:r>
      <w:r w:rsidRPr="00B61E6C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értékesítés árbevétele elérte az 1790,6 milliárd KRW-t (1323,9 millió EUR). A</w:t>
      </w:r>
      <w:r w:rsidR="00CE7B2A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 xml:space="preserve"> </w:t>
      </w:r>
      <w:r w:rsidRPr="00B61E6C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 xml:space="preserve">növekedés fő motorja a nagy átmérőjű gumiabroncsok értékesítése volt. </w:t>
      </w:r>
    </w:p>
    <w:p w14:paraId="0E858126" w14:textId="3BD11BBC" w:rsidR="00B61E6C" w:rsidRPr="00C7607C" w:rsidRDefault="00B61E6C" w:rsidP="00B61E6C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B61E6C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A világban uralkodó bizonytalan gazdasági környezet hatással volt a vállalat üzemi eredményére is, amely az előző év azonos időszakához viszonyítva (YoY) 32,2%kal, 126,0 milliárd KRW-re (93,1 millió EUR) csökkent.</w:t>
      </w:r>
    </w:p>
    <w:p w14:paraId="32B83E3C" w14:textId="428887EB" w:rsidR="00B61E6C" w:rsidRPr="00C7607C" w:rsidRDefault="00B61E6C" w:rsidP="00B61E6C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B61E6C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A Hankook piacvezető szerepre tör az elektromosjárművek szegmensében, az első, kifejezetten elektromos járművekhez tervezett gumiabroncscsaláddal, az iON-nal.</w:t>
      </w:r>
    </w:p>
    <w:p w14:paraId="61385CCF" w14:textId="77777777" w:rsidR="00B61E6C" w:rsidRPr="00C7607C" w:rsidRDefault="00B61E6C" w:rsidP="00AB644E">
      <w:pPr>
        <w:wordWrap/>
        <w:spacing w:line="360" w:lineRule="auto"/>
        <w:contextualSpacing/>
        <w:rPr>
          <w:rFonts w:cs="Arial"/>
          <w:b/>
          <w:noProof/>
          <w:szCs w:val="20"/>
          <w:lang w:val="hu-HU"/>
        </w:rPr>
      </w:pPr>
    </w:p>
    <w:p w14:paraId="4A4D694F" w14:textId="5EABE127" w:rsidR="00B61E6C" w:rsidRPr="00C7607C" w:rsidRDefault="00AB644E" w:rsidP="0098150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AB644E">
        <w:rPr>
          <w:rFonts w:cs="Arial"/>
          <w:b/>
          <w:noProof/>
          <w:szCs w:val="20"/>
          <w:lang w:val="hu-HU" w:bidi="hu-HU"/>
        </w:rPr>
        <w:t>Szöul, Korea / Neu-Isenburg, Németország, 2022. május 1</w:t>
      </w:r>
      <w:r w:rsidR="00CE7B2A">
        <w:rPr>
          <w:rFonts w:cs="Arial"/>
          <w:b/>
          <w:noProof/>
          <w:szCs w:val="20"/>
          <w:lang w:val="hu-HU" w:bidi="hu-HU"/>
        </w:rPr>
        <w:t>6</w:t>
      </w:r>
      <w:r w:rsidRPr="00AB644E">
        <w:rPr>
          <w:rFonts w:cs="Arial"/>
          <w:b/>
          <w:noProof/>
          <w:szCs w:val="20"/>
          <w:lang w:val="hu-HU" w:bidi="hu-HU"/>
        </w:rPr>
        <w:t>. –</w:t>
      </w:r>
      <w:r w:rsidR="00B61E6C" w:rsidRPr="00AB644E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A gumiabroncsgyártó Hankook </w:t>
      </w:r>
      <w:r w:rsidR="00B61E6C" w:rsidRPr="00C03135">
        <w:rPr>
          <w:rFonts w:cs="Arial"/>
          <w:noProof/>
          <w:szCs w:val="20"/>
          <w:lang w:val="hu-HU" w:bidi="hu-HU"/>
        </w:rPr>
        <w:t>Tire</w:t>
      </w:r>
      <w:r w:rsidR="00B61E6C" w:rsidRPr="00AB644E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nyilvánosságra hozta 2022. első negyedévének pénzügyi eredményeit. A vállalat 1790,6 milliárd KRW (1323,9 millió EUR) konszolidált globális árbevételt és 126,0 milliárd KRW (93,1 millió EUR) üzemi eredményt ért el.</w:t>
      </w:r>
    </w:p>
    <w:p w14:paraId="16CDDC0F" w14:textId="77777777" w:rsidR="00B61E6C" w:rsidRPr="00C7607C" w:rsidRDefault="00B61E6C" w:rsidP="0098150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31FC14B7" w14:textId="0CD7F2F1" w:rsidR="00B61E6C" w:rsidRPr="00C7607C" w:rsidRDefault="00B61E6C" w:rsidP="0098150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>A világban uralkodó gazdasági bizonytalanság kihívásainak következtében 2022 első negyedévében az előző év azonos időszakához viszonyítva a vállalat üzemi eredménye 32,2 százalékos csökkenést mutatott. A visszaesés jelentős részben a globális ellátási láncok folyamatos zavaraira, az emelkedő nyersanyagárakra, a COVID-19 visszatérésére, valamint a geopolitikai tényezőkre és ezek elhúzódó utóhatásaira vezethető vissza.</w:t>
      </w:r>
    </w:p>
    <w:p w14:paraId="23ADD211" w14:textId="77777777" w:rsidR="00CD15F2" w:rsidRPr="00C7607C" w:rsidRDefault="00CD15F2" w:rsidP="0098150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2EB378F0" w14:textId="17018A07" w:rsidR="00B61E6C" w:rsidRPr="00C7607C" w:rsidRDefault="00B61E6C" w:rsidP="00981500">
      <w:pPr>
        <w:wordWrap/>
        <w:spacing w:line="360" w:lineRule="auto"/>
        <w:contextualSpacing/>
        <w:rPr>
          <w:rFonts w:eastAsia="Times New Roman" w:cs="Arial"/>
          <w:strike/>
          <w:color w:val="00000A"/>
          <w:kern w:val="0"/>
          <w:szCs w:val="20"/>
          <w:lang w:val="hu-HU" w:eastAsia="en-GB" w:bidi="en-GB"/>
        </w:rPr>
      </w:pP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>Mindazonáltal a vállalat árbevétele – a hatékony árképzésnek és forgalmazási stratégiáknak köszönhetően – az előző év azonos időszakához képest (YoY) továbbra is nőtt – 10,8%-os mértékben. A növekedést főképpen a nagy átmérőjű (18 colos vagy nagyobb) személygépkocsi-abroncsok értékesítése generálta, amely a vállalat teljes árbevételéből 39,0%-ot tett ki . Ez 1,3 százalékpottal magasabb az előző év azonos időszakához képest. Az árbevétel-növekedésben területileg Korea, Kína és Európa játszották a főszerepet. A nagy átmérőjű személygépkocsi-abroncsok kínai értékesítése 8,6</w:t>
      </w:r>
      <w:r w:rsidR="00CE7B2A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</w:t>
      </w: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>százalékpontos növekedést mutatva 49,1% volt, míg a koreai és az európai piacok 2,3 illetve 0,9</w:t>
      </w:r>
      <w:r w:rsidR="00CE7B2A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</w:t>
      </w: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százalékponttal erősödtek. Az USA piaca szintén kiegyensúlyozott növekedést mutatott az első negyedévben. </w:t>
      </w:r>
    </w:p>
    <w:p w14:paraId="36335B77" w14:textId="77777777" w:rsidR="00B61E6C" w:rsidRPr="00C7607C" w:rsidRDefault="00B61E6C" w:rsidP="00981500">
      <w:pPr>
        <w:wordWrap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6B48BA9F" w14:textId="5D498FB2" w:rsidR="00B61E6C" w:rsidRPr="00C7607C" w:rsidRDefault="00B61E6C" w:rsidP="0098150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Mindeközben a nyári gumiabroncsok teljesítménytesztjei során a neves autós magazinok továbbra is elismeréssel adóztak a Hankook termék ek minőségének. Az Auto Bild, Európa legrangosabb autós magazinja a Hankook Tire teljesen új Ventus Prime 4 abroncsát a legelismerőbb, „mintaszerű“ jelzővel </w:t>
      </w: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lastRenderedPageBreak/>
        <w:t xml:space="preserve">illette. A 18 colos Ventus S1 evo 3 SUV szintén tesztgyőztesként végzett, és szintén „mintaszerű“ minősítést kapott Európa legnagyobb terepjárós magazinjától, az Auto Bild Allrad-tól. </w:t>
      </w:r>
    </w:p>
    <w:p w14:paraId="602C5029" w14:textId="77777777" w:rsidR="00B61E6C" w:rsidRPr="00C7607C" w:rsidRDefault="00B61E6C" w:rsidP="00981500">
      <w:pPr>
        <w:wordWrap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1F0C0C0A" w14:textId="25894A20" w:rsidR="00B61E6C" w:rsidRPr="00C7607C" w:rsidRDefault="00B61E6C" w:rsidP="00981500">
      <w:pPr>
        <w:wordWrap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>A Hankook tovább bővíti a prémium autógyártók legjelentősebb modelljeihez és elektromos járműveihez gyártott eredetifelszerelés-portfólióját (OE). Az év első felében a vállalat megkezdte az OE</w:t>
      </w:r>
      <w:r w:rsidR="00CE7B2A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</w:t>
      </w:r>
      <w:r w:rsidRPr="00981500">
        <w:rPr>
          <w:rFonts w:eastAsia="Times New Roman" w:cs="Arial"/>
          <w:color w:val="00000A"/>
          <w:kern w:val="0"/>
          <w:szCs w:val="20"/>
          <w:lang w:val="hu-HU" w:bidi="hu-HU"/>
        </w:rPr>
        <w:t>gumiabroncsok beszállítását a BMW legelső négyajtós, teljesen elektromos Gran Coupe-jához, a BMW i4-hez, és a Mercedes Benz luxus S-osztályú négyajtós modelljéhez.</w:t>
      </w:r>
    </w:p>
    <w:p w14:paraId="2C3698A0" w14:textId="77777777" w:rsidR="00B61E6C" w:rsidRPr="00C7607C" w:rsidRDefault="00B61E6C" w:rsidP="00981500">
      <w:pPr>
        <w:wordWrap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458A066B" w14:textId="73F1BABF" w:rsidR="00B61E6C" w:rsidRPr="00C7607C" w:rsidRDefault="00B61E6C" w:rsidP="00981500">
      <w:pPr>
        <w:wordWrap/>
        <w:spacing w:line="360" w:lineRule="auto"/>
        <w:rPr>
          <w:rFonts w:eastAsia="Hankook Regular" w:cs="Arial"/>
          <w:szCs w:val="20"/>
          <w:lang w:val="hu-HU"/>
        </w:rPr>
      </w:pPr>
      <w:r w:rsidRPr="00141DFF">
        <w:rPr>
          <w:rFonts w:eastAsia="Times New Roman" w:cs="Arial"/>
          <w:color w:val="00000A"/>
          <w:kern w:val="0"/>
          <w:szCs w:val="20"/>
          <w:lang w:val="hu-HU" w:bidi="hu-HU"/>
        </w:rPr>
        <w:t>Ezenkívül a Hankook bemutatta első olyan abroncscsaládját, amelyet kifejezetten a nagyteljesítményű, prémium elektromos járművekhez terveztek. Az iOn (ejtsd: ‚ájon‘) termékek három kivitelben lesznek elérhetők: nyári, téli és négyévszakos. Az iOn májustól jelenik meg a piacon, először Európában, majd augusztustól világszerte, más piacokon is megvásárolható lesz.</w:t>
      </w:r>
    </w:p>
    <w:p w14:paraId="5B251DF9" w14:textId="77777777" w:rsidR="00B61E6C" w:rsidRPr="00C7607C" w:rsidRDefault="00B61E6C" w:rsidP="00981500">
      <w:pPr>
        <w:wordWrap/>
        <w:snapToGrid w:val="0"/>
        <w:spacing w:line="360" w:lineRule="auto"/>
        <w:rPr>
          <w:rFonts w:eastAsia="Hankook Regular" w:cs="Arial"/>
          <w:szCs w:val="20"/>
          <w:lang w:val="hu-HU"/>
        </w:rPr>
      </w:pPr>
    </w:p>
    <w:p w14:paraId="39FBB0E6" w14:textId="668346CF" w:rsidR="00B61E6C" w:rsidRPr="00C7607C" w:rsidRDefault="00B61E6C" w:rsidP="00981500">
      <w:pPr>
        <w:wordWrap/>
        <w:snapToGrid w:val="0"/>
        <w:spacing w:line="360" w:lineRule="auto"/>
        <w:rPr>
          <w:rFonts w:eastAsia="Hankook Regular" w:cs="Arial"/>
          <w:szCs w:val="20"/>
          <w:lang w:val="hu-HU"/>
        </w:rPr>
      </w:pPr>
      <w:r w:rsidRPr="00D40D9A">
        <w:rPr>
          <w:rFonts w:eastAsia="Hankook Regular" w:cs="Arial"/>
          <w:szCs w:val="20"/>
          <w:lang w:val="hu-HU" w:bidi="hu-HU"/>
        </w:rPr>
        <w:t xml:space="preserve">A Hankook Tire célja, hogy idén két számjegyű növekedést érjen el, és a nagy átmérőjű abroncsok értékesítési arányát a személygépjármű-abroncsok teljes értékesítési volumenében 42 százalékra növelje. A Hankook fokozottan összpontosít arra, hogy vezető szerepet töltsön be az elektromosjármű-szegmensben, erősítse együttműködését a vezető járműgyártókkal, és forgalmazói hálózatát bővítve növelje árbevételét. </w:t>
      </w:r>
    </w:p>
    <w:p w14:paraId="07BE406C" w14:textId="77777777" w:rsidR="00B61E6C" w:rsidRPr="00C7607C" w:rsidRDefault="00B61E6C" w:rsidP="00981500">
      <w:pPr>
        <w:wordWrap/>
        <w:spacing w:line="360" w:lineRule="auto"/>
        <w:contextualSpacing/>
        <w:rPr>
          <w:rFonts w:eastAsia="Hankook Regular" w:cs="Arial"/>
          <w:szCs w:val="20"/>
          <w:lang w:val="hu-HU"/>
        </w:rPr>
      </w:pPr>
    </w:p>
    <w:p w14:paraId="5E87454B" w14:textId="4D9D40D4" w:rsidR="00D10AE2" w:rsidRPr="004C097F" w:rsidRDefault="00D10AE2" w:rsidP="004C097F">
      <w:pPr>
        <w:keepNext/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en-GB" w:eastAsia="en-GB" w:bidi="en-GB"/>
        </w:rPr>
      </w:pPr>
      <w:r w:rsidRPr="004C097F">
        <w:rPr>
          <w:rFonts w:eastAsia="Times New Roman" w:cs="Arial"/>
          <w:b/>
          <w:color w:val="00000A"/>
          <w:kern w:val="0"/>
          <w:szCs w:val="20"/>
          <w:lang w:val="hu-HU" w:bidi="hu-HU"/>
        </w:rPr>
        <w:t>2022. I. negyedéves konszolidált pénzügyi eredmények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D10AE2" w:rsidRPr="00D10AE2" w14:paraId="3E232C31" w14:textId="77777777" w:rsidTr="00BE78C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A2F82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(Mértékegység: milliárd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87D38DD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6FB3753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Q4 FY 2021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3E86381B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2022</w:t>
            </w:r>
          </w:p>
        </w:tc>
      </w:tr>
      <w:tr w:rsidR="00D10AE2" w:rsidRPr="00D10AE2" w14:paraId="6D03217C" w14:textId="77777777" w:rsidTr="00BE78C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3191C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hu-HU" w:bidi="hu-HU"/>
              </w:rPr>
              <w:t>Árbevétel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721B0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1 616,8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42099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1 888,4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8436840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1 790,6</w:t>
            </w:r>
          </w:p>
        </w:tc>
      </w:tr>
      <w:tr w:rsidR="00D10AE2" w:rsidRPr="00D10AE2" w14:paraId="395EAFF9" w14:textId="77777777" w:rsidTr="00BE78C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2881C4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hu-HU" w:bidi="hu-HU"/>
              </w:rPr>
              <w:t>Üzemi eredmény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070F73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186,0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E8810D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88,3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8AB9423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126,0</w:t>
            </w:r>
          </w:p>
        </w:tc>
      </w:tr>
    </w:tbl>
    <w:p w14:paraId="0091B236" w14:textId="77777777" w:rsidR="00D10AE2" w:rsidRPr="004C097F" w:rsidRDefault="00D10AE2" w:rsidP="004C097F">
      <w:pPr>
        <w:keepNext/>
        <w:suppressAutoHyphens/>
        <w:wordWrap/>
        <w:autoSpaceDE/>
        <w:rPr>
          <w:rFonts w:eastAsia="Times New Roman" w:cs="Arial"/>
          <w:b/>
          <w:bCs/>
          <w:color w:val="00000A"/>
          <w:kern w:val="0"/>
          <w:sz w:val="19"/>
          <w:szCs w:val="19"/>
          <w:lang w:val="en-GB" w:eastAsia="en-GB" w:bidi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D10AE2" w:rsidRPr="00D10AE2" w14:paraId="4A777343" w14:textId="77777777" w:rsidTr="00BE78C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6E716B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(Mértékegység: millió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80211BA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26EFBB0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Q4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56BA7716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2022</w:t>
            </w:r>
          </w:p>
        </w:tc>
      </w:tr>
      <w:tr w:rsidR="00D10AE2" w:rsidRPr="00D10AE2" w14:paraId="7107512E" w14:textId="77777777" w:rsidTr="00BE78C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DBD3C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Árbevétel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19637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1 451,2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C99A5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1 596,0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6F045D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1 486,0</w:t>
            </w:r>
          </w:p>
        </w:tc>
      </w:tr>
      <w:tr w:rsidR="00D10AE2" w:rsidRPr="00D10AE2" w14:paraId="28A5C8A8" w14:textId="77777777" w:rsidTr="00BE78C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2330B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Üzemi eredmény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D0509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166,9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71484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74,6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AFBAD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104,5</w:t>
            </w:r>
          </w:p>
        </w:tc>
      </w:tr>
    </w:tbl>
    <w:p w14:paraId="7B0FA055" w14:textId="77777777" w:rsidR="00D10AE2" w:rsidRPr="00D10AE2" w:rsidRDefault="00D10AE2" w:rsidP="00D10AE2">
      <w:pPr>
        <w:rPr>
          <w:rFonts w:eastAsia="Hankook Regular" w:cs="Arial"/>
          <w:color w:val="FFFFFF"/>
          <w:sz w:val="19"/>
          <w:szCs w:val="19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D10AE2" w:rsidRPr="00D10AE2" w14:paraId="6C5FE99A" w14:textId="77777777" w:rsidTr="00BE78C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186CBC6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(Mértékegység: millió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B443E2D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412169F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Q4 FY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14FA962D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2022</w:t>
            </w:r>
          </w:p>
        </w:tc>
      </w:tr>
      <w:tr w:rsidR="00D10AE2" w:rsidRPr="00D10AE2" w14:paraId="44DA8E50" w14:textId="77777777" w:rsidTr="00BE78C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1AE0F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Árbevétel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F4BB2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1 204,2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7A1C3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1 396,2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825953A" w14:textId="77777777" w:rsidR="00D10AE2" w:rsidRPr="009E7DA0" w:rsidRDefault="00D10AE2" w:rsidP="00BE78C8">
            <w:pPr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1 323,9</w:t>
            </w:r>
          </w:p>
        </w:tc>
      </w:tr>
      <w:tr w:rsidR="00D10AE2" w:rsidRPr="00D10AE2" w14:paraId="7DA3DB89" w14:textId="77777777" w:rsidTr="00BE78C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926E67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Üzemi eredmény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22900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138,5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BDF10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65,2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6179183E" w14:textId="77777777" w:rsidR="00D10AE2" w:rsidRPr="009E7DA0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="Hankook Regular" w:cs="Arial"/>
                <w:b/>
                <w:sz w:val="19"/>
                <w:szCs w:val="19"/>
              </w:rPr>
            </w:pPr>
            <w:r w:rsidRPr="009E7DA0">
              <w:rPr>
                <w:rFonts w:eastAsia="Hankook Regular" w:cs="Arial"/>
                <w:b/>
                <w:sz w:val="19"/>
                <w:szCs w:val="19"/>
                <w:lang w:val="hu-HU" w:bidi="hu-HU"/>
              </w:rPr>
              <w:t>93,1</w:t>
            </w:r>
          </w:p>
        </w:tc>
      </w:tr>
    </w:tbl>
    <w:p w14:paraId="122A0EE2" w14:textId="77777777" w:rsidR="00D10AE2" w:rsidRPr="004C097F" w:rsidRDefault="00D10AE2" w:rsidP="004C097F">
      <w:pPr>
        <w:keepNext/>
        <w:suppressAutoHyphens/>
        <w:wordWrap/>
        <w:autoSpaceDE/>
        <w:rPr>
          <w:rFonts w:eastAsia="Times New Roman" w:cs="Arial"/>
          <w:b/>
          <w:bCs/>
          <w:color w:val="00000A"/>
          <w:kern w:val="0"/>
          <w:sz w:val="19"/>
          <w:szCs w:val="19"/>
          <w:lang w:val="en-GB" w:eastAsia="en-GB" w:bidi="en-GB"/>
        </w:rPr>
      </w:pPr>
    </w:p>
    <w:p w14:paraId="7289AE2B" w14:textId="7532DEFF" w:rsidR="00D10AE2" w:rsidRPr="004C097F" w:rsidRDefault="00D10AE2" w:rsidP="004C097F">
      <w:pPr>
        <w:keepNext/>
        <w:suppressAutoHyphens/>
        <w:wordWrap/>
        <w:autoSpaceDE/>
        <w:spacing w:line="360" w:lineRule="auto"/>
        <w:rPr>
          <w:rFonts w:eastAsia="Times New Roman" w:cs="Arial"/>
          <w:b/>
          <w:bCs/>
          <w:i/>
          <w:iCs/>
          <w:color w:val="00000A"/>
          <w:kern w:val="0"/>
          <w:szCs w:val="20"/>
          <w:lang w:val="en-GB" w:eastAsia="en-GB" w:bidi="en-GB"/>
        </w:rPr>
      </w:pPr>
      <w:r w:rsidRPr="004C097F">
        <w:rPr>
          <w:rFonts w:eastAsia="Times New Roman" w:cs="Arial"/>
          <w:b/>
          <w:i/>
          <w:color w:val="00000A"/>
          <w:kern w:val="0"/>
          <w:szCs w:val="20"/>
          <w:lang w:val="hu-HU" w:bidi="hu-HU"/>
        </w:rPr>
        <w:t>*Árfolyamok: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D10AE2" w:rsidRPr="00D10AE2" w14:paraId="62346931" w14:textId="77777777" w:rsidTr="00BE78C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6EB9F0F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841CA9B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F067313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Q4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57986C7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hu-HU" w:bidi="hu-HU"/>
              </w:rPr>
              <w:t>Q1 FY 2022</w:t>
            </w:r>
          </w:p>
        </w:tc>
      </w:tr>
      <w:tr w:rsidR="00D10AE2" w:rsidRPr="00D10AE2" w14:paraId="776AE6AC" w14:textId="77777777" w:rsidTr="00BE78C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46208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18F98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1 114,05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E8706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Theme="minorEastAsia" w:cs="Arial"/>
                <w:b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1 183,17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6DEABA0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Theme="minorEastAsia" w:cs="Arial"/>
                <w:b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1 204,95</w:t>
            </w:r>
          </w:p>
        </w:tc>
      </w:tr>
      <w:tr w:rsidR="00D10AE2" w:rsidRPr="00D10AE2" w14:paraId="75C4226C" w14:textId="77777777" w:rsidTr="00BE78C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20549C" w14:textId="77777777" w:rsidR="00D10AE2" w:rsidRPr="00D10AE2" w:rsidRDefault="00D10AE2" w:rsidP="00BE78C8">
            <w:pPr>
              <w:wordWrap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kern w:val="0"/>
                <w:sz w:val="19"/>
                <w:szCs w:val="19"/>
                <w:lang w:val="hu-HU" w:bidi="hu-HU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5AD5E5" w14:textId="77777777" w:rsidR="00D10AE2" w:rsidRPr="00D10AE2" w:rsidRDefault="00D10AE2" w:rsidP="00BE78C8">
            <w:pPr>
              <w:jc w:val="center"/>
              <w:rPr>
                <w:rFonts w:eastAsiaTheme="minorEastAsia" w:cs="Arial"/>
                <w:b/>
                <w:bCs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1 342,62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C50E9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Theme="minorEastAsia" w:cs="Arial"/>
                <w:b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1 352,51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648E69E" w14:textId="77777777" w:rsidR="00D10AE2" w:rsidRPr="00D10AE2" w:rsidRDefault="00D10AE2" w:rsidP="00BE78C8">
            <w:pPr>
              <w:widowControl/>
              <w:wordWrap/>
              <w:autoSpaceDE/>
              <w:autoSpaceDN/>
              <w:jc w:val="center"/>
              <w:rPr>
                <w:rFonts w:eastAsiaTheme="minorEastAsia" w:cs="Arial"/>
                <w:b/>
                <w:sz w:val="19"/>
                <w:szCs w:val="19"/>
              </w:rPr>
            </w:pPr>
            <w:r w:rsidRPr="00D10AE2">
              <w:rPr>
                <w:rFonts w:eastAsia="Hankook Regular" w:cs="Arial"/>
                <w:b/>
                <w:color w:val="000000"/>
                <w:sz w:val="19"/>
                <w:szCs w:val="19"/>
                <w:lang w:val="hu-HU" w:bidi="hu-HU"/>
              </w:rPr>
              <w:t>1 352,44</w:t>
            </w:r>
          </w:p>
        </w:tc>
      </w:tr>
    </w:tbl>
    <w:p w14:paraId="165CBC94" w14:textId="6771EB91" w:rsidR="00B61E6C" w:rsidRPr="00981500" w:rsidRDefault="00B61E6C" w:rsidP="00B61E6C">
      <w:pPr>
        <w:wordWrap/>
        <w:rPr>
          <w:rFonts w:eastAsia="Hankook Regular" w:cs="Arial"/>
          <w:i/>
          <w:iCs/>
          <w:szCs w:val="20"/>
        </w:rPr>
      </w:pPr>
      <w:r w:rsidRPr="00981500">
        <w:rPr>
          <w:rFonts w:eastAsia="Hankook Regular" w:cs="Arial"/>
          <w:i/>
          <w:szCs w:val="20"/>
          <w:lang w:val="hu-HU" w:bidi="hu-HU"/>
        </w:rPr>
        <w:t>(MEGJEGYZÉS: Átlagos árfolyamok az adott éves időszakra, a Korea Exchange Banktól lekérve)</w:t>
      </w:r>
    </w:p>
    <w:p w14:paraId="7EBB35EE" w14:textId="587DBC6C" w:rsidR="00B61E6C" w:rsidRDefault="00B61E6C" w:rsidP="00442725">
      <w:pPr>
        <w:pStyle w:val="Listenabsatz"/>
        <w:wordWrap/>
        <w:snapToGrid w:val="0"/>
        <w:spacing w:line="276" w:lineRule="auto"/>
        <w:ind w:left="0"/>
        <w:rPr>
          <w:rFonts w:eastAsia="Hankook Regular" w:cs="Arial"/>
          <w:szCs w:val="20"/>
        </w:rPr>
      </w:pPr>
    </w:p>
    <w:p w14:paraId="3443A218" w14:textId="44E817A1" w:rsidR="00C7607C" w:rsidRDefault="00C7607C" w:rsidP="00C7607C">
      <w:pPr>
        <w:pStyle w:val="Listenabsatz"/>
        <w:wordWrap/>
        <w:snapToGrid w:val="0"/>
        <w:spacing w:line="276" w:lineRule="auto"/>
        <w:ind w:left="0"/>
        <w:jc w:val="center"/>
        <w:rPr>
          <w:rFonts w:eastAsia="Hankook Regular" w:cs="Arial"/>
          <w:szCs w:val="20"/>
        </w:rPr>
      </w:pPr>
      <w:r>
        <w:rPr>
          <w:rFonts w:eastAsia="Hankook Regular" w:cs="Arial"/>
          <w:szCs w:val="20"/>
        </w:rPr>
        <w:t>###</w:t>
      </w:r>
    </w:p>
    <w:p w14:paraId="03B4CADC" w14:textId="77777777" w:rsidR="00C7607C" w:rsidRPr="00AC602F" w:rsidRDefault="00C7607C" w:rsidP="00C7607C">
      <w:pPr>
        <w:keepNext/>
        <w:pageBreakBefore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r w:rsidRPr="00AC602F">
        <w:rPr>
          <w:rFonts w:asciiTheme="minorBidi" w:hAnsiTheme="minorBidi" w:cstheme="minorBidi"/>
          <w:b/>
          <w:kern w:val="0"/>
          <w:szCs w:val="20"/>
          <w:lang w:val="hu-HU" w:bidi="hu-HU"/>
        </w:rPr>
        <w:lastRenderedPageBreak/>
        <w:t>A Hankook Tire vállalatról</w:t>
      </w:r>
    </w:p>
    <w:p w14:paraId="49D71C29" w14:textId="77777777" w:rsidR="00C7607C" w:rsidRPr="00AC602F" w:rsidRDefault="00C7607C" w:rsidP="00C7607C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5C601A3F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6DDBDC6B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26A3E68A" w14:textId="2E9BC31A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több mint 180 országba szállítja termékeit, és világszinten hozzávetőlegesen 20.000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alkalmazottat foglalkoztat. A világ számos vezető autógyártója első gyári felszerelésként is a Hankook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Tire abroncsait választja.</w:t>
      </w:r>
    </w:p>
    <w:p w14:paraId="78D004BC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5F52A0DF" w14:textId="2A575D21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termékek minősége, a technológiai kiválóság és a vezetési élmény területén. Ennek érdekében a Hankook folyamatosan befektet öt kutatás-fejlesztési központjába és nyolc gyártási egységébe. A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Hannoveri Technológiai Központban az európai piac igényeire szabva fejlesztik az abroncsokat, különös tekintettel az európai prémium autógyártók első szerelésű abroncsaira.</w:t>
      </w:r>
    </w:p>
    <w:p w14:paraId="7FF27F86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151322D5" w14:textId="34824C26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Jones Fenntarthatósági Indexben (DJSI World).</w:t>
      </w:r>
    </w:p>
    <w:p w14:paraId="1A2BEF44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2286CBC9" w14:textId="2114751B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harmadik beruházási ütem 2015 tavaszán fejeződött be, ezzel a magyar gyár éves gyártókapacitása 19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millióra nőtt. A rácalmási gyárban készült termékek az európai piacot szolgálják ki, és megfelelnek a vezető autógyártók előírásainak és igényeinek is.</w:t>
      </w:r>
    </w:p>
    <w:p w14:paraId="2844ADD2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6DCD15EC" w14:textId="4DD7E115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</w:t>
      </w:r>
      <w:r w:rsidR="00CE7B2A">
        <w:rPr>
          <w:rFonts w:asciiTheme="minorBidi" w:hAnsiTheme="minorBidi" w:cstheme="minorBidi"/>
          <w:kern w:val="0"/>
          <w:szCs w:val="20"/>
          <w:lang w:val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6FCEE742" w14:textId="77777777" w:rsidR="00C7607C" w:rsidRPr="00AC602F" w:rsidRDefault="00C7607C" w:rsidP="00C7607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6F8AB7CC" w14:textId="77777777" w:rsidR="00C7607C" w:rsidRPr="00AC602F" w:rsidRDefault="00C7607C" w:rsidP="00C7607C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lastRenderedPageBreak/>
        <w:t xml:space="preserve">További információ: </w:t>
      </w:r>
      <w:hyperlink r:id="rId11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2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37BA11CF" w14:textId="77777777" w:rsidR="00C7607C" w:rsidRPr="00AC602F" w:rsidRDefault="00C7607C" w:rsidP="00C7607C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C7607C" w:rsidRPr="00CE7B2A" w14:paraId="5D98E718" w14:textId="77777777" w:rsidTr="009B6846">
        <w:tc>
          <w:tcPr>
            <w:tcW w:w="5000" w:type="pct"/>
            <w:gridSpan w:val="4"/>
            <w:shd w:val="clear" w:color="auto" w:fill="F2F2F2"/>
          </w:tcPr>
          <w:p w14:paraId="784A000C" w14:textId="77777777" w:rsidR="00C7607C" w:rsidRPr="00AC602F" w:rsidRDefault="00C7607C" w:rsidP="009B6846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49F0C1FF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344F345F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C7607C" w:rsidRPr="00AC602F" w14:paraId="2377A77F" w14:textId="77777777" w:rsidTr="009B6846">
        <w:tc>
          <w:tcPr>
            <w:tcW w:w="1250" w:type="pct"/>
            <w:shd w:val="clear" w:color="auto" w:fill="F2F2F2"/>
          </w:tcPr>
          <w:p w14:paraId="4DE6619A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1A3B41A4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6E51EB3F" w14:textId="77777777" w:rsidR="00C7607C" w:rsidRPr="00AC602F" w:rsidRDefault="00CE7B2A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3" w:history="1">
              <w:r w:rsidR="00C7607C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57BAB257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3058A785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41F7314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558EB755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5F1C1563" w14:textId="77777777" w:rsidR="00C7607C" w:rsidRPr="00AC602F" w:rsidRDefault="00CE7B2A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4" w:history="1">
              <w:r w:rsidR="00C7607C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536D6B2E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27B592FD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7BD4AE20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29290700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25FE4AC4" w14:textId="77777777" w:rsidR="00C7607C" w:rsidRPr="00AC602F" w:rsidRDefault="00CE7B2A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C7607C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27870AC9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02B582BC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0865253E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2B525ED2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120C579A" w14:textId="77777777" w:rsidR="00C7607C" w:rsidRPr="00AC602F" w:rsidRDefault="00CE7B2A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6" w:history="1">
              <w:r w:rsidR="00C7607C" w:rsidRPr="00AC602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7E8977CF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7AC645FB" w14:textId="77777777" w:rsidR="00C7607C" w:rsidRPr="00AC602F" w:rsidRDefault="00C7607C" w:rsidP="009B6846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4061699C" w14:textId="77777777" w:rsidR="00C7607C" w:rsidRPr="00AC602F" w:rsidRDefault="00C7607C" w:rsidP="00C7607C">
      <w:pPr>
        <w:widowControl/>
        <w:wordWrap/>
        <w:rPr>
          <w:rFonts w:asciiTheme="minorBidi" w:hAnsiTheme="minorBidi" w:cstheme="minorBidi"/>
          <w:sz w:val="2"/>
          <w:szCs w:val="2"/>
          <w:lang w:val="hu-HU"/>
        </w:rPr>
      </w:pPr>
    </w:p>
    <w:sectPr w:rsidR="00C7607C" w:rsidRPr="00AC602F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FB19" w14:textId="77777777" w:rsidR="008A3FE1" w:rsidRDefault="008A3FE1" w:rsidP="002368D6">
      <w:r>
        <w:separator/>
      </w:r>
    </w:p>
  </w:endnote>
  <w:endnote w:type="continuationSeparator" w:id="0">
    <w:p w14:paraId="60E9D267" w14:textId="77777777" w:rsidR="008A3FE1" w:rsidRDefault="008A3FE1" w:rsidP="002368D6">
      <w:r>
        <w:continuationSeparator/>
      </w:r>
    </w:p>
  </w:endnote>
  <w:endnote w:type="continuationNotice" w:id="1">
    <w:p w14:paraId="0FB5DB6A" w14:textId="77777777" w:rsidR="008A3FE1" w:rsidRDefault="008A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altName w:val="Dotum"/>
    <w:panose1 w:val="020B0600000101010101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B0CF" w14:textId="77777777" w:rsidR="008A3FE1" w:rsidRDefault="008A3FE1" w:rsidP="002368D6">
      <w:r>
        <w:separator/>
      </w:r>
    </w:p>
  </w:footnote>
  <w:footnote w:type="continuationSeparator" w:id="0">
    <w:p w14:paraId="4614686D" w14:textId="77777777" w:rsidR="008A3FE1" w:rsidRDefault="008A3FE1" w:rsidP="002368D6">
      <w:r>
        <w:continuationSeparator/>
      </w:r>
    </w:p>
  </w:footnote>
  <w:footnote w:type="continuationNotice" w:id="1">
    <w:p w14:paraId="79F224AC" w14:textId="77777777" w:rsidR="008A3FE1" w:rsidRDefault="008A3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E30E" w14:textId="77777777" w:rsidR="00C7607C" w:rsidRDefault="00C7607C" w:rsidP="00C7607C">
    <w:pPr>
      <w:pStyle w:val="Kopfzeile"/>
    </w:pPr>
    <w:bookmarkStart w:id="0" w:name="_Hlk94088175"/>
    <w:bookmarkStart w:id="1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45062CF" wp14:editId="6AEB670E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330321">
    <w:abstractNumId w:val="4"/>
  </w:num>
  <w:num w:numId="2" w16cid:durableId="1352073664">
    <w:abstractNumId w:val="2"/>
  </w:num>
  <w:num w:numId="3" w16cid:durableId="1819180245">
    <w:abstractNumId w:val="3"/>
  </w:num>
  <w:num w:numId="4" w16cid:durableId="1013455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016348">
    <w:abstractNumId w:val="1"/>
  </w:num>
  <w:num w:numId="6" w16cid:durableId="1914075653">
    <w:abstractNumId w:val="5"/>
  </w:num>
  <w:num w:numId="7" w16cid:durableId="203083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4B39"/>
    <w:rsid w:val="00033C80"/>
    <w:rsid w:val="000348C6"/>
    <w:rsid w:val="000357E0"/>
    <w:rsid w:val="000403E1"/>
    <w:rsid w:val="00054019"/>
    <w:rsid w:val="00055526"/>
    <w:rsid w:val="00061075"/>
    <w:rsid w:val="0006783A"/>
    <w:rsid w:val="000804B8"/>
    <w:rsid w:val="00094520"/>
    <w:rsid w:val="000A1E25"/>
    <w:rsid w:val="000B63C3"/>
    <w:rsid w:val="000C1696"/>
    <w:rsid w:val="000C1971"/>
    <w:rsid w:val="000C7312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56DB"/>
    <w:rsid w:val="00121705"/>
    <w:rsid w:val="00125376"/>
    <w:rsid w:val="00126911"/>
    <w:rsid w:val="00130EA4"/>
    <w:rsid w:val="00132199"/>
    <w:rsid w:val="00136636"/>
    <w:rsid w:val="00140054"/>
    <w:rsid w:val="00141DFF"/>
    <w:rsid w:val="00151B84"/>
    <w:rsid w:val="001520CC"/>
    <w:rsid w:val="00156CE0"/>
    <w:rsid w:val="00163191"/>
    <w:rsid w:val="00166946"/>
    <w:rsid w:val="00167DC9"/>
    <w:rsid w:val="001709EC"/>
    <w:rsid w:val="00180720"/>
    <w:rsid w:val="00186580"/>
    <w:rsid w:val="00190098"/>
    <w:rsid w:val="00194900"/>
    <w:rsid w:val="00196099"/>
    <w:rsid w:val="00196F41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B4F3D"/>
    <w:rsid w:val="002D0BCF"/>
    <w:rsid w:val="002D28EF"/>
    <w:rsid w:val="002D2A00"/>
    <w:rsid w:val="002D4C19"/>
    <w:rsid w:val="002D6A14"/>
    <w:rsid w:val="002D7F69"/>
    <w:rsid w:val="002E1544"/>
    <w:rsid w:val="002F5DBB"/>
    <w:rsid w:val="00301EDB"/>
    <w:rsid w:val="00302778"/>
    <w:rsid w:val="003130AB"/>
    <w:rsid w:val="00321A6E"/>
    <w:rsid w:val="00323A61"/>
    <w:rsid w:val="003263EC"/>
    <w:rsid w:val="003322A8"/>
    <w:rsid w:val="00336613"/>
    <w:rsid w:val="00342A19"/>
    <w:rsid w:val="00345528"/>
    <w:rsid w:val="00346984"/>
    <w:rsid w:val="00351819"/>
    <w:rsid w:val="00357727"/>
    <w:rsid w:val="00362E3D"/>
    <w:rsid w:val="0036385E"/>
    <w:rsid w:val="00384684"/>
    <w:rsid w:val="003864FE"/>
    <w:rsid w:val="00387C98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CAB"/>
    <w:rsid w:val="003F2CE8"/>
    <w:rsid w:val="003F458E"/>
    <w:rsid w:val="004012DE"/>
    <w:rsid w:val="00403A7E"/>
    <w:rsid w:val="00412617"/>
    <w:rsid w:val="00421B93"/>
    <w:rsid w:val="004237D3"/>
    <w:rsid w:val="00427D20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097F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6B61"/>
    <w:rsid w:val="00526618"/>
    <w:rsid w:val="00532550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74F4"/>
    <w:rsid w:val="005975BD"/>
    <w:rsid w:val="005A073F"/>
    <w:rsid w:val="005A4603"/>
    <w:rsid w:val="005B27FE"/>
    <w:rsid w:val="005C1CBC"/>
    <w:rsid w:val="005C7507"/>
    <w:rsid w:val="005D4243"/>
    <w:rsid w:val="005E7D57"/>
    <w:rsid w:val="005F670E"/>
    <w:rsid w:val="00606449"/>
    <w:rsid w:val="00607BDB"/>
    <w:rsid w:val="00612F75"/>
    <w:rsid w:val="0061387A"/>
    <w:rsid w:val="00615039"/>
    <w:rsid w:val="00634139"/>
    <w:rsid w:val="006400BC"/>
    <w:rsid w:val="00640731"/>
    <w:rsid w:val="00640803"/>
    <w:rsid w:val="00642D73"/>
    <w:rsid w:val="006446F9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3EAE"/>
    <w:rsid w:val="006E48A0"/>
    <w:rsid w:val="006F20E1"/>
    <w:rsid w:val="006F5FD5"/>
    <w:rsid w:val="006F62A3"/>
    <w:rsid w:val="00707038"/>
    <w:rsid w:val="007227B7"/>
    <w:rsid w:val="0072516D"/>
    <w:rsid w:val="00726605"/>
    <w:rsid w:val="00740BA7"/>
    <w:rsid w:val="00743C21"/>
    <w:rsid w:val="00751E3D"/>
    <w:rsid w:val="00753282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4A39"/>
    <w:rsid w:val="007D4E44"/>
    <w:rsid w:val="007E51A2"/>
    <w:rsid w:val="007E736E"/>
    <w:rsid w:val="00801FC1"/>
    <w:rsid w:val="00815ABB"/>
    <w:rsid w:val="0082386D"/>
    <w:rsid w:val="00841346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C37"/>
    <w:rsid w:val="00893EEA"/>
    <w:rsid w:val="00894237"/>
    <w:rsid w:val="008943DE"/>
    <w:rsid w:val="008A3E17"/>
    <w:rsid w:val="008A3FE1"/>
    <w:rsid w:val="008A5BCE"/>
    <w:rsid w:val="008B00CE"/>
    <w:rsid w:val="008B7158"/>
    <w:rsid w:val="008C027B"/>
    <w:rsid w:val="008C3161"/>
    <w:rsid w:val="008C7F90"/>
    <w:rsid w:val="008D2812"/>
    <w:rsid w:val="008D59E3"/>
    <w:rsid w:val="008D7BE6"/>
    <w:rsid w:val="008E79AA"/>
    <w:rsid w:val="008F29EB"/>
    <w:rsid w:val="008F3A06"/>
    <w:rsid w:val="008F4443"/>
    <w:rsid w:val="00901D60"/>
    <w:rsid w:val="00906F4B"/>
    <w:rsid w:val="0091627C"/>
    <w:rsid w:val="00924B91"/>
    <w:rsid w:val="00925D07"/>
    <w:rsid w:val="0093167E"/>
    <w:rsid w:val="009429F1"/>
    <w:rsid w:val="00947DC0"/>
    <w:rsid w:val="00950299"/>
    <w:rsid w:val="009716C8"/>
    <w:rsid w:val="0097206D"/>
    <w:rsid w:val="00981500"/>
    <w:rsid w:val="009835A7"/>
    <w:rsid w:val="0099716F"/>
    <w:rsid w:val="00997FA9"/>
    <w:rsid w:val="009A139A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A04208"/>
    <w:rsid w:val="00A1388A"/>
    <w:rsid w:val="00A2034F"/>
    <w:rsid w:val="00A204E0"/>
    <w:rsid w:val="00A20D3C"/>
    <w:rsid w:val="00A22948"/>
    <w:rsid w:val="00A46F65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7607C"/>
    <w:rsid w:val="00C80039"/>
    <w:rsid w:val="00C80172"/>
    <w:rsid w:val="00C93BCB"/>
    <w:rsid w:val="00C975C0"/>
    <w:rsid w:val="00CA42AD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60E1"/>
    <w:rsid w:val="00CE4F0A"/>
    <w:rsid w:val="00CE7B2A"/>
    <w:rsid w:val="00CF0095"/>
    <w:rsid w:val="00CF09EB"/>
    <w:rsid w:val="00CF776C"/>
    <w:rsid w:val="00D01B34"/>
    <w:rsid w:val="00D10AE2"/>
    <w:rsid w:val="00D21140"/>
    <w:rsid w:val="00D216D7"/>
    <w:rsid w:val="00D2602E"/>
    <w:rsid w:val="00D3033D"/>
    <w:rsid w:val="00D357BE"/>
    <w:rsid w:val="00D40D9A"/>
    <w:rsid w:val="00D45FFB"/>
    <w:rsid w:val="00D57D81"/>
    <w:rsid w:val="00D613B6"/>
    <w:rsid w:val="00D63318"/>
    <w:rsid w:val="00D77956"/>
    <w:rsid w:val="00D856FF"/>
    <w:rsid w:val="00D9276E"/>
    <w:rsid w:val="00DA6E12"/>
    <w:rsid w:val="00DB1A82"/>
    <w:rsid w:val="00DC0107"/>
    <w:rsid w:val="00DD0677"/>
    <w:rsid w:val="00DD21C2"/>
    <w:rsid w:val="00DD4EAB"/>
    <w:rsid w:val="00DE09D7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4121"/>
    <w:rsid w:val="00E34ABD"/>
    <w:rsid w:val="00E34DCF"/>
    <w:rsid w:val="00E408E1"/>
    <w:rsid w:val="00E472A6"/>
    <w:rsid w:val="00E60E9B"/>
    <w:rsid w:val="00E64CB1"/>
    <w:rsid w:val="00E71E53"/>
    <w:rsid w:val="00E80A27"/>
    <w:rsid w:val="00E9516D"/>
    <w:rsid w:val="00E96006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10F1B"/>
    <w:rsid w:val="00F24D01"/>
    <w:rsid w:val="00F31043"/>
    <w:rsid w:val="00F3486C"/>
    <w:rsid w:val="00F40633"/>
    <w:rsid w:val="00F4706A"/>
    <w:rsid w:val="00F56973"/>
    <w:rsid w:val="00F654C0"/>
    <w:rsid w:val="00F73C82"/>
    <w:rsid w:val="00F75039"/>
    <w:rsid w:val="00F83875"/>
    <w:rsid w:val="00F8715A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518B"/>
    <w:rsid w:val="00FD7EC2"/>
    <w:rsid w:val="00FF4047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C14DC82-AC08-43F6-9A29-B4F5C32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toth@hankook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cz.vivien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4" ma:contentTypeDescription="Ein neues Dokument erstellen." ma:contentTypeScope="" ma:versionID="73a762fc5155c88830a731755f55f225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targetNamespace="http://schemas.microsoft.com/office/2006/metadata/properties" ma:root="true" ma:fieldsID="8b53470ca0632a0015b6f11a91c83344" ns2:_="" ns3:_="" ns4:_="">
    <xsd:import namespace="0616c53e-4dc0-4c3e-a8b6-45ede383bdd9"/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B15EA-0EAB-4E75-81AC-80D524B1E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7774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Andreas Lubitz</cp:lastModifiedBy>
  <cp:revision>5</cp:revision>
  <cp:lastPrinted>2022-05-11T13:11:00Z</cp:lastPrinted>
  <dcterms:created xsi:type="dcterms:W3CDTF">2022-05-11T14:41:00Z</dcterms:created>
  <dcterms:modified xsi:type="dcterms:W3CDTF">2022-05-16T12:58:00Z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</Properties>
</file>