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CB055B" w:rsidRDefault="002066CD" w:rsidP="009C5ABA">
      <w:pPr>
        <w:tabs>
          <w:tab w:val="left" w:pos="142"/>
        </w:tabs>
        <w:suppressAutoHyphens/>
        <w:wordWrap/>
        <w:autoSpaceDE/>
        <w:spacing w:line="360" w:lineRule="auto"/>
        <w:rPr>
          <w:rFonts w:eastAsia="Times New Roman" w:cs="Arial"/>
          <w:bCs/>
          <w:kern w:val="0"/>
          <w:szCs w:val="20"/>
          <w:u w:val="single"/>
          <w:lang w:val="fr-FR" w:eastAsia="en-GB" w:bidi="en-GB"/>
        </w:rPr>
      </w:pPr>
      <w:r>
        <w:rPr>
          <w:rFonts w:eastAsia="Times New Roman" w:cs="Arial"/>
          <w:b/>
          <w:kern w:val="0"/>
          <w:szCs w:val="20"/>
          <w:u w:val="single"/>
          <w:lang w:val="fr-FR" w:bidi="fr-FR"/>
        </w:rPr>
        <w:t>Communiqué de presse</w:t>
      </w:r>
    </w:p>
    <w:p w14:paraId="25011B28" w14:textId="77777777" w:rsidR="00640803" w:rsidRPr="00CB055B" w:rsidRDefault="00640803" w:rsidP="009C5ABA">
      <w:pPr>
        <w:tabs>
          <w:tab w:val="left" w:pos="142"/>
        </w:tabs>
        <w:suppressAutoHyphens/>
        <w:wordWrap/>
        <w:autoSpaceDE/>
        <w:spacing w:line="360" w:lineRule="auto"/>
        <w:rPr>
          <w:rFonts w:eastAsia="Times New Roman" w:cs="Arial"/>
          <w:bCs/>
          <w:kern w:val="0"/>
          <w:szCs w:val="20"/>
          <w:u w:val="single"/>
          <w:lang w:val="fr-FR" w:eastAsia="en-GB" w:bidi="en-GB"/>
        </w:rPr>
      </w:pPr>
    </w:p>
    <w:p w14:paraId="65B852CC" w14:textId="71FF1AED" w:rsidR="00B61E6C" w:rsidRPr="00CB055B" w:rsidRDefault="00B61E6C" w:rsidP="004C097F">
      <w:pPr>
        <w:tabs>
          <w:tab w:val="left" w:pos="142"/>
        </w:tabs>
        <w:suppressAutoHyphens/>
        <w:wordWrap/>
        <w:autoSpaceDE/>
        <w:spacing w:line="276" w:lineRule="auto"/>
        <w:jc w:val="left"/>
        <w:rPr>
          <w:rFonts w:eastAsia="Times New Roman" w:cs="Arial"/>
          <w:b/>
          <w:kern w:val="0"/>
          <w:sz w:val="32"/>
          <w:szCs w:val="20"/>
          <w:lang w:val="fr-FR" w:eastAsia="en-GB" w:bidi="en-GB"/>
        </w:rPr>
      </w:pPr>
      <w:r w:rsidRPr="00B61E6C">
        <w:rPr>
          <w:rFonts w:eastAsia="Times New Roman" w:cs="Arial"/>
          <w:b/>
          <w:kern w:val="0"/>
          <w:sz w:val="32"/>
          <w:szCs w:val="20"/>
          <w:lang w:val="fr-FR" w:bidi="fr-FR"/>
        </w:rPr>
        <w:t>Hankook Tire annonce ses résultats financiers pour</w:t>
      </w:r>
      <w:r w:rsidR="009A182F">
        <w:rPr>
          <w:rFonts w:eastAsia="Times New Roman" w:cs="Arial"/>
          <w:b/>
          <w:kern w:val="0"/>
          <w:sz w:val="32"/>
          <w:szCs w:val="20"/>
          <w:lang w:val="fr-FR" w:bidi="fr-FR"/>
        </w:rPr>
        <w:t xml:space="preserve"> </w:t>
      </w:r>
      <w:r w:rsidRPr="00B61E6C">
        <w:rPr>
          <w:rFonts w:eastAsia="Times New Roman" w:cs="Arial"/>
          <w:b/>
          <w:kern w:val="0"/>
          <w:sz w:val="32"/>
          <w:szCs w:val="20"/>
          <w:lang w:val="fr-FR" w:bidi="fr-FR"/>
        </w:rPr>
        <w:t>le</w:t>
      </w:r>
      <w:r w:rsidR="009A182F">
        <w:rPr>
          <w:rFonts w:eastAsia="Times New Roman" w:cs="Arial"/>
          <w:b/>
          <w:kern w:val="0"/>
          <w:sz w:val="32"/>
          <w:szCs w:val="20"/>
          <w:lang w:val="fr-FR" w:bidi="fr-FR"/>
        </w:rPr>
        <w:t xml:space="preserve"> </w:t>
      </w:r>
      <w:r w:rsidRPr="00B61E6C">
        <w:rPr>
          <w:rFonts w:eastAsia="Times New Roman" w:cs="Arial"/>
          <w:b/>
          <w:kern w:val="0"/>
          <w:sz w:val="32"/>
          <w:szCs w:val="20"/>
          <w:lang w:val="fr-FR" w:bidi="fr-FR"/>
        </w:rPr>
        <w:t>premier trimestre 2022</w:t>
      </w:r>
    </w:p>
    <w:p w14:paraId="2D150DF5" w14:textId="77777777" w:rsidR="00B61E6C" w:rsidRPr="00CB055B" w:rsidRDefault="00B61E6C" w:rsidP="00B61E6C">
      <w:pPr>
        <w:tabs>
          <w:tab w:val="left" w:pos="142"/>
        </w:tabs>
        <w:suppressAutoHyphens/>
        <w:wordWrap/>
        <w:autoSpaceDE/>
        <w:spacing w:line="360" w:lineRule="auto"/>
        <w:jc w:val="left"/>
        <w:rPr>
          <w:rFonts w:eastAsia="Times New Roman" w:cs="Arial"/>
          <w:bCs/>
          <w:color w:val="00000A"/>
          <w:kern w:val="0"/>
          <w:sz w:val="22"/>
          <w:szCs w:val="22"/>
          <w:lang w:val="fr-FR" w:eastAsia="en-GB" w:bidi="en-GB"/>
        </w:rPr>
      </w:pPr>
    </w:p>
    <w:p w14:paraId="6B4D460E" w14:textId="6CF0382A" w:rsidR="00B61E6C" w:rsidRPr="00CB055B"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B61E6C">
        <w:rPr>
          <w:rFonts w:eastAsia="Times New Roman" w:cs="Arial"/>
          <w:b/>
          <w:color w:val="00000A"/>
          <w:kern w:val="0"/>
          <w:sz w:val="22"/>
          <w:szCs w:val="22"/>
          <w:lang w:val="fr-FR" w:bidi="fr-FR"/>
        </w:rPr>
        <w:t>Le chiffre d’affaires mondial atteint 1</w:t>
      </w:r>
      <w:r w:rsidR="009A182F">
        <w:rPr>
          <w:rFonts w:eastAsia="Times New Roman" w:cs="Arial"/>
          <w:b/>
          <w:color w:val="00000A"/>
          <w:kern w:val="0"/>
          <w:sz w:val="22"/>
          <w:szCs w:val="22"/>
          <w:lang w:val="fr-FR" w:bidi="fr-FR"/>
        </w:rPr>
        <w:t xml:space="preserve"> </w:t>
      </w:r>
      <w:r w:rsidRPr="00B61E6C">
        <w:rPr>
          <w:rFonts w:eastAsia="Times New Roman" w:cs="Arial"/>
          <w:b/>
          <w:color w:val="00000A"/>
          <w:kern w:val="0"/>
          <w:sz w:val="22"/>
          <w:szCs w:val="22"/>
          <w:lang w:val="fr-FR" w:bidi="fr-FR"/>
        </w:rPr>
        <w:t xml:space="preserve">323,9 millions d'euros, soit une augmentation de 10,8% par rapport à la même période l’an passé, les ventes de pneumatiques de grandes dimensions étant le principal moteur de croissance </w:t>
      </w:r>
    </w:p>
    <w:p w14:paraId="0E858126" w14:textId="77875F93" w:rsidR="00B61E6C" w:rsidRPr="00CB055B"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B61E6C">
        <w:rPr>
          <w:rFonts w:eastAsia="Times New Roman" w:cs="Arial"/>
          <w:b/>
          <w:color w:val="00000A"/>
          <w:kern w:val="0"/>
          <w:sz w:val="22"/>
          <w:szCs w:val="22"/>
          <w:lang w:val="fr-FR" w:bidi="fr-FR"/>
        </w:rPr>
        <w:t>L'environnement commercial mondial incertain impacte le bénéfice d'exploitation, en baisse de 32,2% par rapport à l’année dernière, il représente 93,1</w:t>
      </w:r>
      <w:r w:rsidR="009A182F">
        <w:rPr>
          <w:rFonts w:eastAsia="Times New Roman" w:cs="Arial"/>
          <w:b/>
          <w:color w:val="00000A"/>
          <w:kern w:val="0"/>
          <w:sz w:val="22"/>
          <w:szCs w:val="22"/>
          <w:lang w:val="fr-FR" w:bidi="fr-FR"/>
        </w:rPr>
        <w:t xml:space="preserve"> </w:t>
      </w:r>
      <w:r w:rsidRPr="00B61E6C">
        <w:rPr>
          <w:rFonts w:eastAsia="Times New Roman" w:cs="Arial"/>
          <w:b/>
          <w:color w:val="00000A"/>
          <w:kern w:val="0"/>
          <w:sz w:val="22"/>
          <w:szCs w:val="22"/>
          <w:lang w:val="fr-FR" w:bidi="fr-FR"/>
        </w:rPr>
        <w:t>millions d'euros</w:t>
      </w:r>
    </w:p>
    <w:p w14:paraId="32B83E3C" w14:textId="428887EB" w:rsidR="00B61E6C" w:rsidRPr="00CB055B"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fr-FR" w:eastAsia="en-GB" w:bidi="en-GB"/>
        </w:rPr>
      </w:pPr>
      <w:r w:rsidRPr="00B61E6C">
        <w:rPr>
          <w:rFonts w:eastAsia="Times New Roman" w:cs="Arial"/>
          <w:b/>
          <w:color w:val="00000A"/>
          <w:kern w:val="0"/>
          <w:sz w:val="22"/>
          <w:szCs w:val="22"/>
          <w:lang w:val="fr-FR" w:bidi="fr-FR"/>
        </w:rPr>
        <w:t>Hankook ambitionne de devenir le principal acteur du marché des véhicules électriques avec iON, sa première gamme de pneumatiques conçus pour les véhicules électriques</w:t>
      </w:r>
    </w:p>
    <w:p w14:paraId="61385CCF" w14:textId="77777777" w:rsidR="00B61E6C" w:rsidRPr="00CB055B" w:rsidRDefault="00B61E6C" w:rsidP="00AB644E">
      <w:pPr>
        <w:wordWrap/>
        <w:spacing w:line="360" w:lineRule="auto"/>
        <w:contextualSpacing/>
        <w:rPr>
          <w:rFonts w:cs="Arial"/>
          <w:b/>
          <w:noProof/>
          <w:szCs w:val="20"/>
          <w:lang w:val="fr-FR"/>
        </w:rPr>
      </w:pPr>
    </w:p>
    <w:p w14:paraId="4A4D694F" w14:textId="27E0C2DD" w:rsidR="00B61E6C" w:rsidRPr="00CB055B" w:rsidRDefault="00AB644E" w:rsidP="00981500">
      <w:pPr>
        <w:wordWrap/>
        <w:spacing w:line="360" w:lineRule="auto"/>
        <w:contextualSpacing/>
        <w:rPr>
          <w:rFonts w:eastAsia="Times New Roman" w:cs="Arial"/>
          <w:color w:val="00000A"/>
          <w:kern w:val="0"/>
          <w:szCs w:val="20"/>
          <w:lang w:val="fr-FR" w:eastAsia="en-GB" w:bidi="en-GB"/>
        </w:rPr>
      </w:pPr>
      <w:r w:rsidRPr="00AB644E">
        <w:rPr>
          <w:rFonts w:cs="Arial"/>
          <w:b/>
          <w:noProof/>
          <w:szCs w:val="20"/>
          <w:lang w:val="fr-FR" w:bidi="fr-FR"/>
        </w:rPr>
        <w:t>Séoul, Corée / Neu-Isenburg, Allemagne, le 1</w:t>
      </w:r>
      <w:r w:rsidR="00FC334B">
        <w:rPr>
          <w:rFonts w:cs="Arial"/>
          <w:b/>
          <w:noProof/>
          <w:szCs w:val="20"/>
          <w:lang w:val="fr-FR" w:bidi="fr-FR"/>
        </w:rPr>
        <w:t>6</w:t>
      </w:r>
      <w:r w:rsidR="009A182F">
        <w:rPr>
          <w:rFonts w:cs="Arial"/>
          <w:b/>
          <w:noProof/>
          <w:szCs w:val="20"/>
          <w:lang w:val="fr-FR" w:bidi="fr-FR"/>
        </w:rPr>
        <w:t xml:space="preserve"> </w:t>
      </w:r>
      <w:r w:rsidRPr="00AB644E">
        <w:rPr>
          <w:rFonts w:cs="Arial"/>
          <w:b/>
          <w:noProof/>
          <w:szCs w:val="20"/>
          <w:lang w:val="fr-FR" w:bidi="fr-FR"/>
        </w:rPr>
        <w:t>mai 2022 –</w:t>
      </w:r>
      <w:r w:rsidR="00B61E6C" w:rsidRPr="00AB644E">
        <w:rPr>
          <w:rFonts w:eastAsia="Times New Roman" w:cs="Arial"/>
          <w:color w:val="00000A"/>
          <w:kern w:val="0"/>
          <w:szCs w:val="20"/>
          <w:lang w:val="fr-FR" w:bidi="fr-FR"/>
        </w:rPr>
        <w:t xml:space="preserve">Hankook </w:t>
      </w:r>
      <w:r w:rsidR="00B61E6C" w:rsidRPr="00C03135">
        <w:rPr>
          <w:rFonts w:cs="Arial"/>
          <w:noProof/>
          <w:szCs w:val="20"/>
          <w:lang w:val="fr-FR" w:bidi="fr-FR"/>
        </w:rPr>
        <w:t xml:space="preserve">Tire </w:t>
      </w:r>
      <w:r w:rsidR="00B61E6C" w:rsidRPr="00AB644E">
        <w:rPr>
          <w:rFonts w:eastAsia="Times New Roman" w:cs="Arial"/>
          <w:color w:val="00000A"/>
          <w:kern w:val="0"/>
          <w:szCs w:val="20"/>
          <w:lang w:val="fr-FR" w:bidi="fr-FR"/>
        </w:rPr>
        <w:t>a annoncé ses résultats financiers pour le 1er trimestre 2022 avec un chiffre d’affaires mondial consolidé de 1</w:t>
      </w:r>
      <w:r w:rsidR="009A182F">
        <w:rPr>
          <w:rFonts w:eastAsia="Times New Roman" w:cs="Arial"/>
          <w:color w:val="00000A"/>
          <w:kern w:val="0"/>
          <w:szCs w:val="20"/>
          <w:lang w:val="fr-FR" w:bidi="fr-FR"/>
        </w:rPr>
        <w:t xml:space="preserve"> </w:t>
      </w:r>
      <w:r w:rsidR="00B61E6C" w:rsidRPr="00AB644E">
        <w:rPr>
          <w:rFonts w:eastAsia="Times New Roman" w:cs="Arial"/>
          <w:color w:val="00000A"/>
          <w:kern w:val="0"/>
          <w:szCs w:val="20"/>
          <w:lang w:val="fr-FR" w:bidi="fr-FR"/>
        </w:rPr>
        <w:t>323,9</w:t>
      </w:r>
      <w:r w:rsidR="009A182F">
        <w:rPr>
          <w:rFonts w:eastAsia="Times New Roman" w:cs="Arial"/>
          <w:color w:val="00000A"/>
          <w:kern w:val="0"/>
          <w:szCs w:val="20"/>
          <w:lang w:val="fr-FR" w:bidi="fr-FR"/>
        </w:rPr>
        <w:t xml:space="preserve"> </w:t>
      </w:r>
      <w:r w:rsidR="00B61E6C" w:rsidRPr="00AB644E">
        <w:rPr>
          <w:rFonts w:eastAsia="Times New Roman" w:cs="Arial"/>
          <w:color w:val="00000A"/>
          <w:kern w:val="0"/>
          <w:szCs w:val="20"/>
          <w:lang w:val="fr-FR" w:bidi="fr-FR"/>
        </w:rPr>
        <w:t>millions d'euros et un bénéfice d’exploitation de 93,1</w:t>
      </w:r>
      <w:r w:rsidR="009A182F">
        <w:rPr>
          <w:rFonts w:eastAsia="Times New Roman" w:cs="Arial"/>
          <w:color w:val="00000A"/>
          <w:kern w:val="0"/>
          <w:szCs w:val="20"/>
          <w:lang w:val="fr-FR" w:bidi="fr-FR"/>
        </w:rPr>
        <w:t xml:space="preserve"> </w:t>
      </w:r>
      <w:r w:rsidR="00B61E6C" w:rsidRPr="00AB644E">
        <w:rPr>
          <w:rFonts w:eastAsia="Times New Roman" w:cs="Arial"/>
          <w:color w:val="00000A"/>
          <w:kern w:val="0"/>
          <w:szCs w:val="20"/>
          <w:lang w:val="fr-FR" w:bidi="fr-FR"/>
        </w:rPr>
        <w:t>millions d'euros.</w:t>
      </w:r>
    </w:p>
    <w:p w14:paraId="16CDDC0F" w14:textId="77777777" w:rsidR="00B61E6C" w:rsidRPr="00CB055B" w:rsidRDefault="00B61E6C" w:rsidP="00981500">
      <w:pPr>
        <w:wordWrap/>
        <w:spacing w:line="360" w:lineRule="auto"/>
        <w:contextualSpacing/>
        <w:rPr>
          <w:rFonts w:eastAsia="Times New Roman" w:cs="Arial"/>
          <w:color w:val="00000A"/>
          <w:kern w:val="0"/>
          <w:szCs w:val="20"/>
          <w:lang w:val="fr-FR" w:eastAsia="en-GB" w:bidi="en-GB"/>
        </w:rPr>
      </w:pPr>
    </w:p>
    <w:p w14:paraId="31FC14B7" w14:textId="0CD7F2F1" w:rsidR="00B61E6C" w:rsidRPr="003B3DCF" w:rsidRDefault="00B61E6C" w:rsidP="00981500">
      <w:pPr>
        <w:wordWrap/>
        <w:spacing w:line="360" w:lineRule="auto"/>
        <w:contextualSpacing/>
        <w:rPr>
          <w:rFonts w:eastAsia="Times New Roman" w:cs="Arial"/>
          <w:color w:val="00000A"/>
          <w:kern w:val="0"/>
          <w:szCs w:val="20"/>
          <w:lang w:val="fr-FR" w:eastAsia="en-GB" w:bidi="en-GB"/>
        </w:rPr>
      </w:pPr>
      <w:r w:rsidRPr="003B3DCF">
        <w:rPr>
          <w:rFonts w:eastAsia="Times New Roman" w:cs="Arial"/>
          <w:color w:val="00000A"/>
          <w:kern w:val="0"/>
          <w:szCs w:val="20"/>
          <w:lang w:val="fr-FR" w:bidi="fr-FR"/>
        </w:rPr>
        <w:t>En raison des défis inhérents au contexte commercial mondial incertain du premier trimestre 2022, l’entreprise a enregistré une baisse de son bénéfice d'exploitation de 32,2% en glissement annuel. Cette baisse s'explique en grande partie par les difficultés de la chaîne d'approvisionnement mondiale, la hausse des prix des matières premières, la recrudescence de la COVID-19 et les problèmes géopolitiques.</w:t>
      </w:r>
    </w:p>
    <w:p w14:paraId="23ADD211" w14:textId="77777777" w:rsidR="00CD15F2" w:rsidRPr="00CB055B" w:rsidRDefault="00CD15F2" w:rsidP="00981500">
      <w:pPr>
        <w:wordWrap/>
        <w:spacing w:line="360" w:lineRule="auto"/>
        <w:contextualSpacing/>
        <w:rPr>
          <w:rFonts w:eastAsia="Times New Roman" w:cs="Arial"/>
          <w:color w:val="00000A"/>
          <w:kern w:val="0"/>
          <w:szCs w:val="20"/>
          <w:lang w:val="fr-FR" w:eastAsia="en-GB" w:bidi="en-GB"/>
        </w:rPr>
      </w:pPr>
    </w:p>
    <w:p w14:paraId="2EB378F0" w14:textId="152E3BB0" w:rsidR="00B61E6C" w:rsidRPr="00CB055B" w:rsidRDefault="00B61E6C" w:rsidP="00981500">
      <w:pPr>
        <w:wordWrap/>
        <w:spacing w:line="360" w:lineRule="auto"/>
        <w:contextualSpacing/>
        <w:rPr>
          <w:rFonts w:eastAsia="Times New Roman" w:cs="Arial"/>
          <w:strike/>
          <w:color w:val="00000A"/>
          <w:kern w:val="0"/>
          <w:szCs w:val="20"/>
          <w:lang w:val="fr-FR" w:eastAsia="en-GB" w:bidi="en-GB"/>
        </w:rPr>
      </w:pPr>
      <w:r w:rsidRPr="00981500">
        <w:rPr>
          <w:rFonts w:eastAsia="Times New Roman" w:cs="Arial"/>
          <w:color w:val="00000A"/>
          <w:kern w:val="0"/>
          <w:szCs w:val="20"/>
          <w:lang w:val="fr-FR" w:bidi="fr-FR"/>
        </w:rPr>
        <w:t xml:space="preserve">Cependant, les ventes de l’entreprise ont continué à croître avec une augmentation de 10,8% par </w:t>
      </w:r>
      <w:proofErr w:type="gramStart"/>
      <w:r w:rsidRPr="00981500">
        <w:rPr>
          <w:rFonts w:eastAsia="Times New Roman" w:cs="Arial"/>
          <w:color w:val="00000A"/>
          <w:kern w:val="0"/>
          <w:szCs w:val="20"/>
          <w:lang w:val="fr-FR" w:bidi="fr-FR"/>
        </w:rPr>
        <w:t>rapport</w:t>
      </w:r>
      <w:proofErr w:type="gramEnd"/>
      <w:r w:rsidRPr="00981500">
        <w:rPr>
          <w:rFonts w:eastAsia="Times New Roman" w:cs="Arial"/>
          <w:color w:val="00000A"/>
          <w:kern w:val="0"/>
          <w:szCs w:val="20"/>
          <w:lang w:val="fr-FR" w:bidi="fr-FR"/>
        </w:rPr>
        <w:t xml:space="preserve"> à l’an passé grâce à des stratégies de prix et de distribution efficaces dans les principales régions. Plus particulièrement, les ventes de pneumatiques tourisme de grandes dimensions (18</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pouces ou plus) ont continué à stimuler la croissance, représentant 39% des ventes totales de l'entreprise, soit une hausse de 1,3</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point de pourcentage en glissement annuel. Les régions de Corée, de Chine et d'Europe ont joué un rôle clé dans la croissance des ventes. La part des ventes de pneumatiques tourisme de grandes dimensions sur le marché chinois a été de 49,1%, soit une hausse de 8,6</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points de pourcentage en glissement annuel, tandis que les marchés coréen et européen ont respectivement augmenté de 2,3</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points de pourcentage et 0,9</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 xml:space="preserve">point de pourcentage en glissement annuel. Le marché américain, quant à lui, a connu une reprise régulière au premier trimestre. </w:t>
      </w:r>
    </w:p>
    <w:p w14:paraId="36335B77" w14:textId="77777777" w:rsidR="00B61E6C" w:rsidRPr="00CB055B" w:rsidRDefault="00B61E6C" w:rsidP="00981500">
      <w:pPr>
        <w:wordWrap/>
        <w:spacing w:line="360" w:lineRule="auto"/>
        <w:rPr>
          <w:rFonts w:eastAsia="Times New Roman" w:cs="Arial"/>
          <w:color w:val="00000A"/>
          <w:kern w:val="0"/>
          <w:szCs w:val="20"/>
          <w:lang w:val="fr-FR" w:eastAsia="en-GB" w:bidi="en-GB"/>
        </w:rPr>
      </w:pPr>
    </w:p>
    <w:p w14:paraId="6B48BA9F" w14:textId="22FD43C2" w:rsidR="00B61E6C" w:rsidRPr="00CB055B" w:rsidRDefault="00B61E6C" w:rsidP="00981500">
      <w:pPr>
        <w:wordWrap/>
        <w:spacing w:line="360" w:lineRule="auto"/>
        <w:contextualSpacing/>
        <w:rPr>
          <w:rFonts w:eastAsia="Times New Roman" w:cs="Arial"/>
          <w:color w:val="00000A"/>
          <w:kern w:val="0"/>
          <w:szCs w:val="20"/>
          <w:lang w:val="fr-FR" w:eastAsia="en-GB" w:bidi="en-GB"/>
        </w:rPr>
      </w:pPr>
      <w:r w:rsidRPr="00981500">
        <w:rPr>
          <w:rFonts w:eastAsia="Times New Roman" w:cs="Arial"/>
          <w:color w:val="00000A"/>
          <w:kern w:val="0"/>
          <w:szCs w:val="20"/>
          <w:lang w:val="fr-FR" w:bidi="fr-FR"/>
        </w:rPr>
        <w:t xml:space="preserve">En parallèle, la qualité des produits Hankook a continué à être saluée par des magazines automobiles renommés qui ont réalisé des tests de performance sur les pneumatiques été. Auto Bild, le magazine automobile le plus prestigieux d'Europe, a attribué au tout nouveau Ventus Prime 4 de Hankook Tire la </w:t>
      </w:r>
      <w:r w:rsidRPr="00981500">
        <w:rPr>
          <w:rFonts w:eastAsia="Times New Roman" w:cs="Arial"/>
          <w:color w:val="00000A"/>
          <w:kern w:val="0"/>
          <w:szCs w:val="20"/>
          <w:lang w:val="fr-FR" w:bidi="fr-FR"/>
        </w:rPr>
        <w:lastRenderedPageBreak/>
        <w:t>note la plus élevée : «</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exemplaire</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 Le pneumatique Ventus S1 evo 3 SUV en dimension 18</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 xml:space="preserve">pouces </w:t>
      </w:r>
      <w:proofErr w:type="gramStart"/>
      <w:r w:rsidRPr="00981500">
        <w:rPr>
          <w:rFonts w:eastAsia="Times New Roman" w:cs="Arial"/>
          <w:color w:val="00000A"/>
          <w:kern w:val="0"/>
          <w:szCs w:val="20"/>
          <w:lang w:val="fr-FR" w:bidi="fr-FR"/>
        </w:rPr>
        <w:t>a</w:t>
      </w:r>
      <w:proofErr w:type="gramEnd"/>
      <w:r w:rsidRPr="00981500">
        <w:rPr>
          <w:rFonts w:eastAsia="Times New Roman" w:cs="Arial"/>
          <w:color w:val="00000A"/>
          <w:kern w:val="0"/>
          <w:szCs w:val="20"/>
          <w:lang w:val="fr-FR" w:bidi="fr-FR"/>
        </w:rPr>
        <w:t xml:space="preserve"> également remporté le test et obtenu la note «</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exemplaire</w:t>
      </w:r>
      <w:r w:rsidR="009A182F">
        <w:rPr>
          <w:rFonts w:eastAsia="Times New Roman" w:cs="Arial"/>
          <w:color w:val="00000A"/>
          <w:kern w:val="0"/>
          <w:szCs w:val="20"/>
          <w:lang w:val="fr-FR" w:bidi="fr-FR"/>
        </w:rPr>
        <w:t xml:space="preserve"> </w:t>
      </w:r>
      <w:r w:rsidRPr="00981500">
        <w:rPr>
          <w:rFonts w:eastAsia="Times New Roman" w:cs="Arial"/>
          <w:color w:val="00000A"/>
          <w:kern w:val="0"/>
          <w:szCs w:val="20"/>
          <w:lang w:val="fr-FR" w:bidi="fr-FR"/>
        </w:rPr>
        <w:t>» dans le magazine Auto Bild Allrad, le plus grand magazine européen dédié aux véhicules tout-terrain.</w:t>
      </w:r>
    </w:p>
    <w:p w14:paraId="602C5029" w14:textId="77777777" w:rsidR="00B61E6C" w:rsidRPr="00CB055B" w:rsidRDefault="00B61E6C" w:rsidP="00981500">
      <w:pPr>
        <w:wordWrap/>
        <w:spacing w:line="360" w:lineRule="auto"/>
        <w:rPr>
          <w:rFonts w:eastAsia="Times New Roman" w:cs="Arial"/>
          <w:color w:val="00000A"/>
          <w:kern w:val="0"/>
          <w:szCs w:val="20"/>
          <w:lang w:val="fr-FR" w:eastAsia="en-GB" w:bidi="en-GB"/>
        </w:rPr>
      </w:pPr>
    </w:p>
    <w:p w14:paraId="1F0C0C0A" w14:textId="1DB2E564" w:rsidR="00B61E6C" w:rsidRPr="003B3DCF" w:rsidRDefault="00B61E6C" w:rsidP="00981500">
      <w:pPr>
        <w:wordWrap/>
        <w:spacing w:line="360" w:lineRule="auto"/>
        <w:rPr>
          <w:rFonts w:eastAsia="Times New Roman" w:cs="Arial"/>
          <w:color w:val="00000A"/>
          <w:spacing w:val="-2"/>
          <w:kern w:val="0"/>
          <w:szCs w:val="20"/>
          <w:lang w:val="fr-FR" w:eastAsia="en-GB" w:bidi="en-GB"/>
        </w:rPr>
      </w:pPr>
      <w:r w:rsidRPr="003B3DCF">
        <w:rPr>
          <w:rFonts w:eastAsia="Times New Roman" w:cs="Arial"/>
          <w:color w:val="00000A"/>
          <w:spacing w:val="-2"/>
          <w:kern w:val="0"/>
          <w:szCs w:val="20"/>
          <w:lang w:val="fr-FR" w:bidi="fr-FR"/>
        </w:rPr>
        <w:t>Hankook a continué à développer son activité d'équipement d'origine pour les modèles phares et les véhicules électriques de constructeurs automobiles haut de gamme. Au cours du premier semestre de cette année, l’entreprise a annoncé qu’elle équiperait en première monte le tout premier Gran Coupé tout électrique quatre portes de BMW, la BMW i4, ainsi que la luxueuse berline Classe S de Mercedes</w:t>
      </w:r>
      <w:r w:rsidR="009A182F">
        <w:rPr>
          <w:rFonts w:eastAsia="Times New Roman" w:cs="Arial"/>
          <w:color w:val="00000A"/>
          <w:spacing w:val="-2"/>
          <w:kern w:val="0"/>
          <w:szCs w:val="20"/>
          <w:lang w:val="fr-FR" w:bidi="fr-FR"/>
        </w:rPr>
        <w:t xml:space="preserve"> </w:t>
      </w:r>
      <w:r w:rsidRPr="003B3DCF">
        <w:rPr>
          <w:rFonts w:eastAsia="Times New Roman" w:cs="Arial"/>
          <w:color w:val="00000A"/>
          <w:spacing w:val="-2"/>
          <w:kern w:val="0"/>
          <w:szCs w:val="20"/>
          <w:lang w:val="fr-FR" w:bidi="fr-FR"/>
        </w:rPr>
        <w:t>Benz.</w:t>
      </w:r>
    </w:p>
    <w:p w14:paraId="2C3698A0" w14:textId="77777777" w:rsidR="00B61E6C" w:rsidRPr="00CB055B" w:rsidRDefault="00B61E6C" w:rsidP="00981500">
      <w:pPr>
        <w:wordWrap/>
        <w:spacing w:line="360" w:lineRule="auto"/>
        <w:rPr>
          <w:rFonts w:eastAsia="Times New Roman" w:cs="Arial"/>
          <w:color w:val="00000A"/>
          <w:kern w:val="0"/>
          <w:szCs w:val="20"/>
          <w:lang w:val="fr-FR" w:eastAsia="en-GB" w:bidi="en-GB"/>
        </w:rPr>
      </w:pPr>
    </w:p>
    <w:p w14:paraId="458A066B" w14:textId="73F1BABF" w:rsidR="00B61E6C" w:rsidRPr="00CB055B" w:rsidRDefault="00B61E6C" w:rsidP="00981500">
      <w:pPr>
        <w:wordWrap/>
        <w:spacing w:line="360" w:lineRule="auto"/>
        <w:rPr>
          <w:rFonts w:eastAsia="Hankook Regular" w:cs="Arial"/>
          <w:szCs w:val="20"/>
          <w:lang w:val="fr-FR"/>
        </w:rPr>
      </w:pPr>
      <w:r w:rsidRPr="00141DFF">
        <w:rPr>
          <w:rFonts w:eastAsia="Times New Roman" w:cs="Arial"/>
          <w:color w:val="00000A"/>
          <w:kern w:val="0"/>
          <w:szCs w:val="20"/>
          <w:lang w:val="fr-FR" w:bidi="fr-FR"/>
        </w:rPr>
        <w:t>De plus, l’entreprise Hankook a lancé sa première gamme de pneumatiques spécialement conçus pour les véhicules électriques premium hautes performances. Les produits iON (prononcez /ai'on/) seront disponibles en trois versions : été, hiver et toutes saisons. La gamme iON sera d'abord déployée en mai en Europe, puis étendue à d'autres marchés dans le monde à partir d’août.</w:t>
      </w:r>
    </w:p>
    <w:p w14:paraId="5B251DF9" w14:textId="77777777" w:rsidR="00B61E6C" w:rsidRPr="00CB055B" w:rsidRDefault="00B61E6C" w:rsidP="00981500">
      <w:pPr>
        <w:wordWrap/>
        <w:snapToGrid w:val="0"/>
        <w:spacing w:line="360" w:lineRule="auto"/>
        <w:rPr>
          <w:rFonts w:eastAsia="Hankook Regular" w:cs="Arial"/>
          <w:szCs w:val="20"/>
          <w:lang w:val="fr-FR"/>
        </w:rPr>
      </w:pPr>
    </w:p>
    <w:p w14:paraId="39FBB0E6" w14:textId="668346CF" w:rsidR="00B61E6C" w:rsidRPr="00CB055B" w:rsidRDefault="00B61E6C" w:rsidP="00981500">
      <w:pPr>
        <w:wordWrap/>
        <w:snapToGrid w:val="0"/>
        <w:spacing w:line="360" w:lineRule="auto"/>
        <w:rPr>
          <w:rFonts w:eastAsia="Hankook Regular" w:cs="Arial"/>
          <w:szCs w:val="20"/>
          <w:lang w:val="fr-FR"/>
        </w:rPr>
      </w:pPr>
      <w:r w:rsidRPr="00D40D9A">
        <w:rPr>
          <w:rFonts w:eastAsia="Hankook Regular" w:cs="Arial"/>
          <w:szCs w:val="20"/>
          <w:lang w:val="fr-FR" w:bidi="fr-FR"/>
        </w:rPr>
        <w:t xml:space="preserve">Hankook Tire a pour objectif cette année de réaliser une croissance à deux chiffres et à porter sa part de ventes de pneumatiques de grandes dimensions à 42% des ventes totales de pneumatiques tourisme. Hankook compte renforcer sa position sur le segment des pneumatiques pour véhicules électriques en développant ses partenariats avec les principaux constructeurs automobiles et en élargissant ses canaux de distribution et ses ventes dans les différentes régions. </w:t>
      </w:r>
    </w:p>
    <w:p w14:paraId="07BE406C" w14:textId="77777777" w:rsidR="00B61E6C" w:rsidRPr="00CB055B" w:rsidRDefault="00B61E6C" w:rsidP="00981500">
      <w:pPr>
        <w:wordWrap/>
        <w:spacing w:line="360" w:lineRule="auto"/>
        <w:contextualSpacing/>
        <w:rPr>
          <w:rFonts w:eastAsia="Hankook Regular" w:cs="Arial"/>
          <w:szCs w:val="20"/>
          <w:lang w:val="fr-FR"/>
        </w:rPr>
      </w:pPr>
    </w:p>
    <w:p w14:paraId="5E87454B" w14:textId="4D9D40D4" w:rsidR="00D10AE2" w:rsidRPr="00CB055B" w:rsidRDefault="00D10AE2" w:rsidP="004C097F">
      <w:pPr>
        <w:keepNext/>
        <w:suppressAutoHyphens/>
        <w:wordWrap/>
        <w:autoSpaceDE/>
        <w:spacing w:line="360" w:lineRule="auto"/>
        <w:rPr>
          <w:rFonts w:eastAsia="Times New Roman" w:cs="Arial"/>
          <w:b/>
          <w:bCs/>
          <w:color w:val="00000A"/>
          <w:kern w:val="0"/>
          <w:szCs w:val="20"/>
          <w:lang w:val="fr-FR" w:eastAsia="en-GB" w:bidi="en-GB"/>
        </w:rPr>
      </w:pPr>
      <w:r w:rsidRPr="004C097F">
        <w:rPr>
          <w:rFonts w:eastAsia="Times New Roman" w:cs="Arial"/>
          <w:b/>
          <w:color w:val="00000A"/>
          <w:kern w:val="0"/>
          <w:szCs w:val="20"/>
          <w:lang w:val="fr-FR" w:bidi="fr-FR"/>
        </w:rPr>
        <w:t>Résultats financiers consolidés 1er trimestre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530B0A5B"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(Unité</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 xml:space="preserve">: </w:t>
            </w:r>
            <w:r w:rsidR="003B3DCF">
              <w:rPr>
                <w:rFonts w:eastAsia="Hankook Regular" w:cs="Arial"/>
                <w:b/>
                <w:color w:val="FFFFFF"/>
                <w:kern w:val="0"/>
                <w:sz w:val="19"/>
                <w:szCs w:val="19"/>
                <w:lang w:val="fr-FR" w:bidi="fr-FR"/>
              </w:rPr>
              <w:br/>
            </w:r>
            <w:r w:rsidRPr="00D10AE2">
              <w:rPr>
                <w:rFonts w:eastAsia="Hankook Regular" w:cs="Arial"/>
                <w:b/>
                <w:color w:val="FFFFFF"/>
                <w:kern w:val="0"/>
                <w:sz w:val="19"/>
                <w:szCs w:val="19"/>
                <w:lang w:val="fr-FR" w:bidi="fr-FR"/>
              </w:rPr>
              <w:t>milliards de KRW)</w:t>
            </w:r>
          </w:p>
        </w:tc>
        <w:tc>
          <w:tcPr>
            <w:tcW w:w="2260" w:type="dxa"/>
            <w:tcBorders>
              <w:bottom w:val="double" w:sz="4" w:space="0" w:color="auto"/>
              <w:right w:val="double" w:sz="4" w:space="0" w:color="auto"/>
            </w:tcBorders>
            <w:shd w:val="clear" w:color="auto" w:fill="7F7F7F"/>
            <w:vAlign w:val="center"/>
          </w:tcPr>
          <w:p w14:paraId="187D38DD" w14:textId="33FDDB50"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 4 exercice 2021</w:t>
            </w:r>
          </w:p>
        </w:tc>
        <w:tc>
          <w:tcPr>
            <w:tcW w:w="2260" w:type="dxa"/>
            <w:tcBorders>
              <w:left w:val="double" w:sz="4" w:space="0" w:color="auto"/>
              <w:bottom w:val="double" w:sz="4" w:space="0" w:color="auto"/>
              <w:right w:val="nil"/>
            </w:tcBorders>
            <w:shd w:val="clear" w:color="auto" w:fill="7F7F7F"/>
            <w:vAlign w:val="center"/>
          </w:tcPr>
          <w:p w14:paraId="3E86381B" w14:textId="41C8C552"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fr-FR" w:bidi="fr-FR"/>
              </w:rPr>
              <w:t>Chiffres d’affaires</w:t>
            </w:r>
          </w:p>
        </w:tc>
        <w:tc>
          <w:tcPr>
            <w:tcW w:w="2260" w:type="dxa"/>
            <w:tcBorders>
              <w:top w:val="double" w:sz="4" w:space="0" w:color="auto"/>
              <w:right w:val="double" w:sz="4" w:space="0" w:color="auto"/>
            </w:tcBorders>
            <w:shd w:val="clear" w:color="auto" w:fill="auto"/>
            <w:vAlign w:val="center"/>
          </w:tcPr>
          <w:p w14:paraId="02C721B0" w14:textId="06A6B788"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w:t>
            </w:r>
            <w:r w:rsidR="009A182F">
              <w:rPr>
                <w:rFonts w:eastAsia="Hankook Regular" w:cs="Arial"/>
                <w:b/>
                <w:sz w:val="19"/>
                <w:szCs w:val="19"/>
                <w:lang w:val="fr-FR" w:bidi="fr-FR"/>
              </w:rPr>
              <w:t xml:space="preserve"> </w:t>
            </w:r>
            <w:r w:rsidRPr="00D10AE2">
              <w:rPr>
                <w:rFonts w:eastAsia="Hankook Regular" w:cs="Arial"/>
                <w:b/>
                <w:sz w:val="19"/>
                <w:szCs w:val="19"/>
                <w:lang w:val="fr-FR" w:bidi="fr-FR"/>
              </w:rPr>
              <w:t>616,8</w:t>
            </w:r>
          </w:p>
        </w:tc>
        <w:tc>
          <w:tcPr>
            <w:tcW w:w="2260" w:type="dxa"/>
            <w:tcBorders>
              <w:top w:val="double" w:sz="4" w:space="0" w:color="auto"/>
              <w:right w:val="double" w:sz="4" w:space="0" w:color="auto"/>
            </w:tcBorders>
            <w:shd w:val="clear" w:color="auto" w:fill="auto"/>
            <w:vAlign w:val="center"/>
          </w:tcPr>
          <w:p w14:paraId="2C642099" w14:textId="3476B66F"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888,4</w:t>
            </w:r>
          </w:p>
        </w:tc>
        <w:tc>
          <w:tcPr>
            <w:tcW w:w="2260" w:type="dxa"/>
            <w:tcBorders>
              <w:top w:val="double" w:sz="4" w:space="0" w:color="auto"/>
              <w:left w:val="double" w:sz="4" w:space="0" w:color="auto"/>
              <w:right w:val="nil"/>
            </w:tcBorders>
            <w:shd w:val="clear" w:color="auto" w:fill="auto"/>
            <w:vAlign w:val="center"/>
          </w:tcPr>
          <w:p w14:paraId="18436840" w14:textId="70D5FC31"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fr-FR" w:bidi="fr-FR"/>
              </w:rPr>
              <w:t>Bénéfice d’exploitation</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186</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126</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0B2E6788"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(Unité</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 xml:space="preserve">: </w:t>
            </w:r>
            <w:r w:rsidR="003B3DCF">
              <w:rPr>
                <w:rFonts w:eastAsia="Hankook Regular" w:cs="Arial"/>
                <w:b/>
                <w:color w:val="FFFFFF"/>
                <w:kern w:val="0"/>
                <w:sz w:val="19"/>
                <w:szCs w:val="19"/>
                <w:lang w:val="fr-FR" w:bidi="fr-FR"/>
              </w:rPr>
              <w:br/>
            </w:r>
            <w:r w:rsidRPr="00D10AE2">
              <w:rPr>
                <w:rFonts w:eastAsia="Hankook Regular" w:cs="Arial"/>
                <w:b/>
                <w:color w:val="FFFFFF"/>
                <w:kern w:val="0"/>
                <w:sz w:val="19"/>
                <w:szCs w:val="19"/>
                <w:lang w:val="fr-FR" w:bidi="fr-FR"/>
              </w:rPr>
              <w:t>millions de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41517686"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 4 exercice 2021</w:t>
            </w:r>
          </w:p>
        </w:tc>
        <w:tc>
          <w:tcPr>
            <w:tcW w:w="2268" w:type="dxa"/>
            <w:tcBorders>
              <w:left w:val="double" w:sz="4" w:space="0" w:color="auto"/>
              <w:bottom w:val="double" w:sz="4" w:space="0" w:color="auto"/>
              <w:right w:val="nil"/>
            </w:tcBorders>
            <w:shd w:val="clear" w:color="auto" w:fill="7F7F7F"/>
            <w:vAlign w:val="center"/>
          </w:tcPr>
          <w:p w14:paraId="56BA7716" w14:textId="51173522"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Chiffres d’affaires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4939CD0"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w:t>
            </w:r>
            <w:r w:rsidR="009A182F">
              <w:rPr>
                <w:rFonts w:eastAsia="Hankook Regular" w:cs="Arial"/>
                <w:b/>
                <w:sz w:val="19"/>
                <w:szCs w:val="19"/>
                <w:lang w:val="fr-FR" w:bidi="fr-FR"/>
              </w:rPr>
              <w:t xml:space="preserve"> </w:t>
            </w:r>
            <w:r w:rsidRPr="00D10AE2">
              <w:rPr>
                <w:rFonts w:eastAsia="Hankook Regular" w:cs="Arial"/>
                <w:b/>
                <w:sz w:val="19"/>
                <w:szCs w:val="19"/>
                <w:lang w:val="fr-FR" w:bidi="fr-FR"/>
              </w:rPr>
              <w:t>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6CB53961"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596</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33A00BBB"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486</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Bénéfice d’exploitation</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6FB725AB"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(Unité</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 xml:space="preserve">: </w:t>
            </w:r>
            <w:r w:rsidR="003B3DCF">
              <w:rPr>
                <w:rFonts w:eastAsia="Hankook Regular" w:cs="Arial"/>
                <w:b/>
                <w:color w:val="FFFFFF"/>
                <w:kern w:val="0"/>
                <w:sz w:val="19"/>
                <w:szCs w:val="19"/>
                <w:lang w:val="fr-FR" w:bidi="fr-FR"/>
              </w:rPr>
              <w:br/>
            </w:r>
            <w:r w:rsidRPr="00D10AE2">
              <w:rPr>
                <w:rFonts w:eastAsia="Hankook Regular" w:cs="Arial"/>
                <w:b/>
                <w:color w:val="FFFFFF"/>
                <w:kern w:val="0"/>
                <w:sz w:val="19"/>
                <w:szCs w:val="19"/>
                <w:lang w:val="fr-FR" w:bidi="fr-FR"/>
              </w:rPr>
              <w:t>millions d'euros)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3A4F424C"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 4 exercice 2021</w:t>
            </w:r>
          </w:p>
        </w:tc>
        <w:tc>
          <w:tcPr>
            <w:tcW w:w="2268" w:type="dxa"/>
            <w:tcBorders>
              <w:top w:val="nil"/>
              <w:left w:val="double" w:sz="4" w:space="0" w:color="auto"/>
              <w:bottom w:val="double" w:sz="4" w:space="0" w:color="auto"/>
              <w:right w:val="nil"/>
            </w:tcBorders>
            <w:shd w:val="clear" w:color="auto" w:fill="7F7F7F"/>
            <w:vAlign w:val="center"/>
          </w:tcPr>
          <w:p w14:paraId="14FA962D" w14:textId="178FD5B3"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Chiffres d’affaires</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3ED963F"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w:t>
            </w:r>
            <w:r w:rsidR="009A182F">
              <w:rPr>
                <w:rFonts w:eastAsia="Hankook Regular" w:cs="Arial"/>
                <w:b/>
                <w:sz w:val="19"/>
                <w:szCs w:val="19"/>
                <w:lang w:val="fr-FR" w:bidi="fr-FR"/>
              </w:rPr>
              <w:t xml:space="preserve"> </w:t>
            </w:r>
            <w:r w:rsidRPr="00D10AE2">
              <w:rPr>
                <w:rFonts w:eastAsia="Hankook Regular" w:cs="Arial"/>
                <w:b/>
                <w:sz w:val="19"/>
                <w:szCs w:val="19"/>
                <w:lang w:val="fr-FR" w:bidi="fr-FR"/>
              </w:rPr>
              <w:t>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1A60A3E8"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396,2</w:t>
            </w:r>
          </w:p>
        </w:tc>
        <w:tc>
          <w:tcPr>
            <w:tcW w:w="2268" w:type="dxa"/>
            <w:tcBorders>
              <w:top w:val="double" w:sz="4" w:space="0" w:color="auto"/>
              <w:left w:val="double" w:sz="4" w:space="0" w:color="auto"/>
              <w:right w:val="nil"/>
            </w:tcBorders>
            <w:shd w:val="clear" w:color="auto" w:fill="FFFFFF"/>
            <w:vAlign w:val="center"/>
          </w:tcPr>
          <w:p w14:paraId="2825953A" w14:textId="33D00890" w:rsidR="00D10AE2" w:rsidRPr="009E7DA0" w:rsidRDefault="00D10AE2" w:rsidP="00BE78C8">
            <w:pPr>
              <w:jc w:val="center"/>
              <w:rPr>
                <w:rFonts w:eastAsia="Hankook Regular" w:cs="Arial"/>
                <w:b/>
                <w:sz w:val="19"/>
                <w:szCs w:val="19"/>
              </w:rPr>
            </w:pPr>
            <w:r w:rsidRPr="009E7DA0">
              <w:rPr>
                <w:rFonts w:eastAsia="Hankook Regular" w:cs="Arial"/>
                <w:b/>
                <w:sz w:val="19"/>
                <w:szCs w:val="19"/>
                <w:lang w:val="fr-FR" w:bidi="fr-FR"/>
              </w:rPr>
              <w:t>1</w:t>
            </w:r>
            <w:r w:rsidR="009A182F">
              <w:rPr>
                <w:rFonts w:eastAsia="Hankook Regular" w:cs="Arial"/>
                <w:b/>
                <w:sz w:val="19"/>
                <w:szCs w:val="19"/>
                <w:lang w:val="fr-FR" w:bidi="fr-FR"/>
              </w:rPr>
              <w:t xml:space="preserve"> </w:t>
            </w:r>
            <w:r w:rsidRPr="009E7DA0">
              <w:rPr>
                <w:rFonts w:eastAsia="Hankook Regular" w:cs="Arial"/>
                <w:b/>
                <w:sz w:val="19"/>
                <w:szCs w:val="19"/>
                <w:lang w:val="fr-FR" w:bidi="fr-FR"/>
              </w:rPr>
              <w:t>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Bénéfice d’exploitation</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r-FR" w:bidi="fr-FR"/>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r-FR" w:bidi="fr-FR"/>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4B94D0F7" w:rsidR="00D10AE2" w:rsidRPr="004C097F" w:rsidRDefault="00D10AE2" w:rsidP="004C097F">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fr-FR" w:bidi="fr-FR"/>
        </w:rPr>
        <w:t>*Taux de change</w:t>
      </w:r>
      <w:r w:rsidR="009A182F">
        <w:rPr>
          <w:rFonts w:eastAsia="Times New Roman" w:cs="Arial"/>
          <w:b/>
          <w:i/>
          <w:color w:val="00000A"/>
          <w:kern w:val="0"/>
          <w:szCs w:val="20"/>
          <w:lang w:val="fr-FR" w:bidi="fr-FR"/>
        </w:rPr>
        <w:t xml:space="preserve"> </w:t>
      </w:r>
      <w:r w:rsidRPr="004C097F">
        <w:rPr>
          <w:rFonts w:eastAsia="Times New Roman" w:cs="Arial"/>
          <w:b/>
          <w:i/>
          <w:color w:val="00000A"/>
          <w:kern w:val="0"/>
          <w:szCs w:val="20"/>
          <w:lang w:val="fr-FR" w:bidi="fr-FR"/>
        </w:rPr>
        <w: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BE78C8">
            <w:pPr>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494FC1E2"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 4 exercice 2021</w:t>
            </w:r>
          </w:p>
        </w:tc>
        <w:tc>
          <w:tcPr>
            <w:tcW w:w="2268" w:type="dxa"/>
            <w:tcBorders>
              <w:left w:val="double" w:sz="4" w:space="0" w:color="auto"/>
              <w:bottom w:val="double" w:sz="4" w:space="0" w:color="auto"/>
              <w:right w:val="nil"/>
            </w:tcBorders>
            <w:shd w:val="clear" w:color="auto" w:fill="7F7F7F"/>
            <w:vAlign w:val="center"/>
          </w:tcPr>
          <w:p w14:paraId="457986C7" w14:textId="596C3EDC"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r-FR" w:bidi="fr-FR"/>
              </w:rPr>
              <w:t>Trim.</w:t>
            </w:r>
            <w:r w:rsidR="009A182F">
              <w:rPr>
                <w:rFonts w:eastAsia="Hankook Regular" w:cs="Arial"/>
                <w:b/>
                <w:color w:val="FFFFFF"/>
                <w:kern w:val="0"/>
                <w:sz w:val="19"/>
                <w:szCs w:val="19"/>
                <w:lang w:val="fr-FR" w:bidi="fr-FR"/>
              </w:rPr>
              <w:t xml:space="preserve"> </w:t>
            </w:r>
            <w:r w:rsidRPr="00D10AE2">
              <w:rPr>
                <w:rFonts w:eastAsia="Hankook Regular" w:cs="Arial"/>
                <w:b/>
                <w:color w:val="FFFFFF"/>
                <w:kern w:val="0"/>
                <w:sz w:val="19"/>
                <w:szCs w:val="19"/>
                <w:lang w:val="fr-FR" w:bidi="fr-FR"/>
              </w:rPr>
              <w:t>1 exercice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USD / KRW</w:t>
            </w:r>
          </w:p>
        </w:tc>
        <w:tc>
          <w:tcPr>
            <w:tcW w:w="2268" w:type="dxa"/>
            <w:tcBorders>
              <w:top w:val="double" w:sz="4" w:space="0" w:color="auto"/>
              <w:right w:val="double" w:sz="4" w:space="0" w:color="auto"/>
            </w:tcBorders>
            <w:shd w:val="clear" w:color="auto" w:fill="auto"/>
            <w:vAlign w:val="center"/>
          </w:tcPr>
          <w:p w14:paraId="16218F98" w14:textId="2D5D7A0F"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54258E8A"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183,17</w:t>
            </w:r>
          </w:p>
        </w:tc>
        <w:tc>
          <w:tcPr>
            <w:tcW w:w="2268" w:type="dxa"/>
            <w:tcBorders>
              <w:top w:val="double" w:sz="4" w:space="0" w:color="auto"/>
              <w:left w:val="double" w:sz="4" w:space="0" w:color="auto"/>
              <w:right w:val="nil"/>
            </w:tcBorders>
            <w:shd w:val="clear" w:color="auto" w:fill="auto"/>
            <w:vAlign w:val="center"/>
          </w:tcPr>
          <w:p w14:paraId="16DEABA0" w14:textId="2C863919"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r-FR" w:bidi="fr-FR"/>
              </w:rPr>
              <w:t>EUR / KRW</w:t>
            </w:r>
          </w:p>
        </w:tc>
        <w:tc>
          <w:tcPr>
            <w:tcW w:w="2268" w:type="dxa"/>
            <w:tcBorders>
              <w:right w:val="double" w:sz="4" w:space="0" w:color="auto"/>
            </w:tcBorders>
            <w:shd w:val="clear" w:color="auto" w:fill="auto"/>
            <w:vAlign w:val="center"/>
          </w:tcPr>
          <w:p w14:paraId="025AD5E5" w14:textId="78E38390"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342,62</w:t>
            </w:r>
          </w:p>
        </w:tc>
        <w:tc>
          <w:tcPr>
            <w:tcW w:w="2268" w:type="dxa"/>
            <w:tcBorders>
              <w:left w:val="double" w:sz="4" w:space="0" w:color="auto"/>
              <w:right w:val="double" w:sz="4" w:space="0" w:color="auto"/>
            </w:tcBorders>
            <w:shd w:val="clear" w:color="auto" w:fill="auto"/>
            <w:vAlign w:val="center"/>
          </w:tcPr>
          <w:p w14:paraId="71CC50E9" w14:textId="356656B4"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352,51</w:t>
            </w:r>
          </w:p>
        </w:tc>
        <w:tc>
          <w:tcPr>
            <w:tcW w:w="2268" w:type="dxa"/>
            <w:tcBorders>
              <w:left w:val="double" w:sz="4" w:space="0" w:color="auto"/>
              <w:right w:val="nil"/>
            </w:tcBorders>
            <w:shd w:val="clear" w:color="auto" w:fill="auto"/>
            <w:vAlign w:val="center"/>
          </w:tcPr>
          <w:p w14:paraId="4648E69E" w14:textId="073DF008"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r-FR" w:bidi="fr-FR"/>
              </w:rPr>
              <w:t>1</w:t>
            </w:r>
            <w:r w:rsidR="009A182F">
              <w:rPr>
                <w:rFonts w:eastAsia="Hankook Regular" w:cs="Arial"/>
                <w:b/>
                <w:color w:val="000000"/>
                <w:sz w:val="19"/>
                <w:szCs w:val="19"/>
                <w:lang w:val="fr-FR" w:bidi="fr-FR"/>
              </w:rPr>
              <w:t xml:space="preserve"> </w:t>
            </w:r>
            <w:r w:rsidRPr="00D10AE2">
              <w:rPr>
                <w:rFonts w:eastAsia="Hankook Regular" w:cs="Arial"/>
                <w:b/>
                <w:color w:val="000000"/>
                <w:sz w:val="19"/>
                <w:szCs w:val="19"/>
                <w:lang w:val="fr-FR" w:bidi="fr-FR"/>
              </w:rPr>
              <w:t>352,44</w:t>
            </w:r>
          </w:p>
        </w:tc>
      </w:tr>
    </w:tbl>
    <w:p w14:paraId="165CBC94" w14:textId="6771EB91" w:rsidR="00B61E6C" w:rsidRPr="00CB055B" w:rsidRDefault="00B61E6C" w:rsidP="00B61E6C">
      <w:pPr>
        <w:wordWrap/>
        <w:rPr>
          <w:rFonts w:eastAsia="Hankook Regular" w:cs="Arial"/>
          <w:i/>
          <w:iCs/>
          <w:szCs w:val="20"/>
          <w:lang w:val="fr-FR"/>
        </w:rPr>
      </w:pPr>
      <w:r w:rsidRPr="00981500">
        <w:rPr>
          <w:rFonts w:eastAsia="Hankook Regular" w:cs="Arial"/>
          <w:i/>
          <w:szCs w:val="20"/>
          <w:lang w:val="fr-FR" w:bidi="fr-FR"/>
        </w:rPr>
        <w:t>(NB : taux de change moyens pour la période donnée, issus de la Korea Exchange Bank)</w:t>
      </w:r>
    </w:p>
    <w:p w14:paraId="6AC9EFC4" w14:textId="1CD068CC" w:rsidR="00CB055B" w:rsidRDefault="00CB055B" w:rsidP="003B3DCF">
      <w:pPr>
        <w:pStyle w:val="Listenabsatz"/>
        <w:pageBreakBefore/>
        <w:wordWrap/>
        <w:snapToGrid w:val="0"/>
        <w:spacing w:line="276" w:lineRule="auto"/>
        <w:ind w:left="0"/>
        <w:jc w:val="center"/>
        <w:rPr>
          <w:rFonts w:eastAsia="Hankook Regular" w:cs="Arial"/>
          <w:szCs w:val="20"/>
        </w:rPr>
      </w:pPr>
      <w:r>
        <w:rPr>
          <w:rFonts w:eastAsia="Hankook Regular" w:cs="Arial"/>
          <w:szCs w:val="20"/>
        </w:rPr>
        <w:lastRenderedPageBreak/>
        <w:t>###</w:t>
      </w:r>
    </w:p>
    <w:p w14:paraId="02510F76" w14:textId="19079FDC" w:rsidR="00CB055B" w:rsidRDefault="00CB055B" w:rsidP="00442725">
      <w:pPr>
        <w:pStyle w:val="Listenabsatz"/>
        <w:wordWrap/>
        <w:snapToGrid w:val="0"/>
        <w:spacing w:line="276" w:lineRule="auto"/>
        <w:ind w:left="0"/>
        <w:rPr>
          <w:rFonts w:eastAsia="Hankook Regular" w:cs="Arial"/>
          <w:szCs w:val="20"/>
        </w:rPr>
      </w:pPr>
    </w:p>
    <w:p w14:paraId="2CD29571" w14:textId="77777777" w:rsidR="00CB055B" w:rsidRPr="00C36613" w:rsidRDefault="00CB055B" w:rsidP="00CB055B">
      <w:pPr>
        <w:keepNext/>
        <w:widowControl/>
        <w:wordWrap/>
        <w:spacing w:line="360" w:lineRule="auto"/>
        <w:rPr>
          <w:rFonts w:asciiTheme="minorBidi" w:hAnsiTheme="minorBidi" w:cstheme="minorBidi"/>
          <w:b/>
          <w:bCs/>
          <w:szCs w:val="20"/>
          <w:lang w:val="fr-FR"/>
        </w:rPr>
      </w:pPr>
      <w:r w:rsidRPr="00C36613">
        <w:rPr>
          <w:rFonts w:asciiTheme="minorBidi" w:hAnsiTheme="minorBidi" w:cstheme="minorBidi"/>
          <w:b/>
          <w:bCs/>
          <w:szCs w:val="20"/>
          <w:lang w:val="fr-FR"/>
        </w:rPr>
        <w:t>À propos d'Hankook</w:t>
      </w:r>
    </w:p>
    <w:p w14:paraId="25BBCFE4" w14:textId="77777777" w:rsidR="00CB055B" w:rsidRPr="00C36613" w:rsidRDefault="00CB055B" w:rsidP="00CB055B">
      <w:pPr>
        <w:keepNext/>
        <w:widowControl/>
        <w:wordWrap/>
        <w:spacing w:line="360" w:lineRule="auto"/>
        <w:rPr>
          <w:rFonts w:asciiTheme="minorBidi" w:hAnsiTheme="minorBidi" w:cstheme="minorBidi"/>
          <w:b/>
          <w:bCs/>
          <w:szCs w:val="20"/>
          <w:lang w:val="fr-FR"/>
        </w:rPr>
      </w:pPr>
    </w:p>
    <w:p w14:paraId="31232E61" w14:textId="77777777" w:rsidR="00CB055B" w:rsidRPr="00C36613" w:rsidRDefault="00CB055B" w:rsidP="00CB055B">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Hankook Tire fabrique à l’échelle mondiale des pneumatiques radiaux premium et innovants – dont plusieurs ont été primés – destinés aux véhicules de tourisme, 4X4/SUV, utilitaires, poids lourds, autobus ainsi qu’aux véhicules de sports automobiles (courses sur circuit/rallyes).</w:t>
      </w:r>
    </w:p>
    <w:p w14:paraId="2DB6FCD5" w14:textId="77777777" w:rsidR="00CB055B" w:rsidRPr="00C36613" w:rsidRDefault="00CB055B" w:rsidP="00CB055B">
      <w:pPr>
        <w:widowControl/>
        <w:wordWrap/>
        <w:spacing w:line="360" w:lineRule="auto"/>
        <w:rPr>
          <w:rFonts w:asciiTheme="minorBidi" w:hAnsiTheme="minorBidi" w:cstheme="minorBidi"/>
          <w:kern w:val="0"/>
          <w:szCs w:val="20"/>
          <w:lang w:val="fr-FR"/>
        </w:rPr>
      </w:pPr>
    </w:p>
    <w:p w14:paraId="600E36B1" w14:textId="78C46348" w:rsidR="00CB055B" w:rsidRPr="00C36613" w:rsidRDefault="00CB055B" w:rsidP="00CB055B">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w:t>
      </w:r>
      <w:r w:rsidR="009A182F">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000 employés y produisent jusqu'à 19 millions de pneumatiques par an pour les véhicules de tourisme, les SUV et les camionnettes.</w:t>
      </w:r>
    </w:p>
    <w:p w14:paraId="1C5510CD" w14:textId="77777777" w:rsidR="00CB055B" w:rsidRPr="00C36613" w:rsidRDefault="00CB055B" w:rsidP="00CB055B">
      <w:pPr>
        <w:widowControl/>
        <w:wordWrap/>
        <w:spacing w:line="360" w:lineRule="auto"/>
        <w:rPr>
          <w:rFonts w:asciiTheme="minorBidi" w:hAnsiTheme="minorBidi" w:cstheme="minorBidi"/>
          <w:kern w:val="0"/>
          <w:szCs w:val="20"/>
          <w:lang w:val="fr-FR"/>
        </w:rPr>
      </w:pPr>
    </w:p>
    <w:p w14:paraId="06723C8D" w14:textId="37C44B0D" w:rsidR="00CB055B" w:rsidRPr="00C36613" w:rsidRDefault="00CB055B" w:rsidP="00CB055B">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Neu-Isenburg,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r w:rsidRPr="00C36613">
        <w:rPr>
          <w:rFonts w:asciiTheme="minorBidi" w:hAnsiTheme="minorBidi" w:cstheme="minorBidi"/>
          <w:kern w:val="0"/>
          <w:szCs w:val="20"/>
          <w:lang w:val="fr-FR"/>
        </w:rPr>
        <w:t>Hankook emploie environ 20</w:t>
      </w:r>
      <w:r w:rsidR="009A182F">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000</w:t>
      </w:r>
      <w:r w:rsidR="009A182F">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salariés dans le monde entier et commercialise ses produits dans plus de 180</w:t>
      </w:r>
      <w:r w:rsidR="009A182F">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pays. Pour leurs équipements de première monte, les plus grands constructeurs automobiles font confiance aux pneumatiques fabriqués par Hankook. L'Europe représente environ 34 % du chiffre d'affaires global de l'entreprise. Depuis 2016, la société Hankook Tire figure au classement du très renommé Dow Jones Sustainability Index World (DJSI World).</w:t>
      </w:r>
    </w:p>
    <w:p w14:paraId="6789A9EA" w14:textId="77777777" w:rsidR="00CB055B" w:rsidRPr="00C36613" w:rsidRDefault="00CB055B" w:rsidP="00CB055B">
      <w:pPr>
        <w:widowControl/>
        <w:wordWrap/>
        <w:spacing w:line="360" w:lineRule="auto"/>
        <w:rPr>
          <w:rFonts w:asciiTheme="minorBidi" w:hAnsiTheme="minorBidi" w:cstheme="minorBidi"/>
          <w:kern w:val="0"/>
          <w:szCs w:val="20"/>
          <w:lang w:val="fr-FR"/>
        </w:rPr>
      </w:pPr>
    </w:p>
    <w:p w14:paraId="274854CB" w14:textId="77777777" w:rsidR="00CB055B" w:rsidRPr="006C78BF" w:rsidRDefault="00CB055B" w:rsidP="00CB055B">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1CE9C0F9" w14:textId="77777777" w:rsidR="00CB055B" w:rsidRPr="006C78BF" w:rsidRDefault="00CB055B" w:rsidP="00CB055B">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CB055B" w:rsidRPr="006C78BF" w14:paraId="5ECC7CCC" w14:textId="77777777" w:rsidTr="00C8213D">
        <w:tc>
          <w:tcPr>
            <w:tcW w:w="5000" w:type="pct"/>
            <w:gridSpan w:val="4"/>
            <w:shd w:val="clear" w:color="auto" w:fill="F2F2F2"/>
          </w:tcPr>
          <w:p w14:paraId="4E9CC009" w14:textId="77777777" w:rsidR="00CB055B" w:rsidRPr="006C78BF" w:rsidRDefault="00CB055B" w:rsidP="00C8213D">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6E800038" w14:textId="77777777" w:rsidR="00CB055B" w:rsidRPr="006C78BF" w:rsidRDefault="00CB055B" w:rsidP="00C8213D">
            <w:pPr>
              <w:widowControl/>
              <w:wordWrap/>
              <w:spacing w:line="276" w:lineRule="auto"/>
              <w:rPr>
                <w:rFonts w:asciiTheme="minorBidi" w:hAnsiTheme="minorBidi" w:cstheme="minorBidi"/>
                <w:sz w:val="16"/>
                <w:szCs w:val="16"/>
                <w:lang w:val="de-DE"/>
              </w:rPr>
            </w:pPr>
            <w:r w:rsidRPr="006C78BF">
              <w:rPr>
                <w:rFonts w:asciiTheme="minorBidi" w:hAnsiTheme="minorBidi" w:cstheme="minorBidi"/>
                <w:b/>
                <w:bCs/>
                <w:sz w:val="16"/>
                <w:szCs w:val="16"/>
                <w:lang w:val="fr-FR"/>
              </w:rPr>
              <w:t xml:space="preserve">Hankook Tire Europe GmbH | </w:t>
            </w:r>
            <w:r w:rsidRPr="006C78BF">
              <w:rPr>
                <w:rFonts w:asciiTheme="minorBidi" w:hAnsiTheme="minorBidi" w:cstheme="minorBidi"/>
                <w:bCs/>
                <w:sz w:val="16"/>
                <w:szCs w:val="16"/>
                <w:lang w:val="fr-FR"/>
              </w:rPr>
              <w:t>Corporate Communications Europe/CIS</w:t>
            </w:r>
            <w:r w:rsidRPr="006C78BF">
              <w:rPr>
                <w:rFonts w:asciiTheme="minorBidi" w:hAnsiTheme="minorBidi" w:cstheme="minorBidi"/>
                <w:b/>
                <w:bCs/>
                <w:sz w:val="16"/>
                <w:szCs w:val="16"/>
                <w:lang w:val="fr-FR"/>
              </w:rPr>
              <w:t xml:space="preserve"> | </w:t>
            </w:r>
            <w:r w:rsidRPr="006C78BF">
              <w:rPr>
                <w:rFonts w:asciiTheme="minorBidi" w:hAnsiTheme="minorBidi" w:cstheme="minorBidi"/>
                <w:sz w:val="16"/>
                <w:szCs w:val="16"/>
                <w:lang w:val="fr-FR"/>
              </w:rPr>
              <w:t xml:space="preserve">Siemensstr.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3F955436" w14:textId="77777777" w:rsidR="00CB055B" w:rsidRPr="006C78BF" w:rsidRDefault="00CB055B" w:rsidP="00C8213D">
            <w:pPr>
              <w:widowControl/>
              <w:wordWrap/>
              <w:spacing w:line="276" w:lineRule="auto"/>
              <w:rPr>
                <w:rFonts w:asciiTheme="minorBidi" w:hAnsiTheme="minorBidi" w:cstheme="minorBidi"/>
                <w:sz w:val="16"/>
                <w:szCs w:val="16"/>
                <w:u w:val="single"/>
                <w:lang w:val="de-DE"/>
              </w:rPr>
            </w:pPr>
          </w:p>
        </w:tc>
      </w:tr>
      <w:tr w:rsidR="00CB055B" w:rsidRPr="006C78BF" w14:paraId="09ADF2CD" w14:textId="77777777" w:rsidTr="00C8213D">
        <w:tc>
          <w:tcPr>
            <w:tcW w:w="1250" w:type="pct"/>
            <w:shd w:val="clear" w:color="auto" w:fill="F2F2F2"/>
          </w:tcPr>
          <w:p w14:paraId="65DC8E80" w14:textId="77777777" w:rsidR="00CB055B" w:rsidRPr="006C78BF" w:rsidRDefault="00CB055B" w:rsidP="00C8213D">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Felix Kinzer</w:t>
            </w:r>
          </w:p>
          <w:p w14:paraId="5953B005" w14:textId="77777777" w:rsidR="00CB055B" w:rsidRPr="006C78BF" w:rsidRDefault="00CB055B" w:rsidP="00C821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7A94A2C1" w14:textId="49B8D6F6" w:rsidR="00CB055B" w:rsidRPr="006C78BF" w:rsidRDefault="00CB055B" w:rsidP="00C821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w:t>
            </w:r>
            <w:r w:rsidR="009A182F">
              <w:rPr>
                <w:rFonts w:asciiTheme="minorBidi" w:hAnsiTheme="minorBidi" w:cstheme="minorBidi"/>
                <w:snapToGrid w:val="0"/>
                <w:sz w:val="16"/>
                <w:szCs w:val="16"/>
                <w:lang w:val="fr-FR"/>
              </w:rPr>
              <w:t xml:space="preserve"> </w:t>
            </w:r>
            <w:r w:rsidRPr="006C78BF">
              <w:rPr>
                <w:rFonts w:asciiTheme="minorBidi" w:hAnsiTheme="minorBidi" w:cstheme="minorBidi"/>
                <w:snapToGrid w:val="0"/>
                <w:sz w:val="16"/>
                <w:szCs w:val="16"/>
                <w:lang w:val="fr-FR"/>
              </w:rPr>
              <w:t>: +49 6102 8149-170</w:t>
            </w:r>
          </w:p>
          <w:p w14:paraId="3334B861" w14:textId="77777777" w:rsidR="00CB055B" w:rsidRPr="006C78BF" w:rsidRDefault="009A182F" w:rsidP="00C8213D">
            <w:pPr>
              <w:widowControl/>
              <w:wordWrap/>
              <w:spacing w:line="276" w:lineRule="auto"/>
              <w:rPr>
                <w:rFonts w:asciiTheme="minorBidi" w:hAnsiTheme="minorBidi" w:cstheme="minorBidi"/>
                <w:snapToGrid w:val="0"/>
                <w:sz w:val="16"/>
                <w:szCs w:val="16"/>
                <w:lang w:val="fr-FR"/>
              </w:rPr>
            </w:pPr>
            <w:hyperlink r:id="rId13">
              <w:r w:rsidR="00CB055B" w:rsidRPr="006C78BF">
                <w:rPr>
                  <w:rFonts w:asciiTheme="minorBidi" w:hAnsiTheme="minorBidi" w:cstheme="minorBidi"/>
                  <w:snapToGrid w:val="0"/>
                  <w:color w:val="0000FF"/>
                  <w:sz w:val="16"/>
                  <w:szCs w:val="16"/>
                  <w:u w:val="single"/>
                  <w:lang w:val="fr-FR"/>
                </w:rPr>
                <w:t>f.kinzer@hankookreifen.de</w:t>
              </w:r>
            </w:hyperlink>
          </w:p>
          <w:p w14:paraId="08923B3B" w14:textId="77777777" w:rsidR="00CB055B" w:rsidRPr="006C78BF" w:rsidRDefault="00CB055B" w:rsidP="00C8213D">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6CF6FFAD" w14:textId="77777777" w:rsidR="00CB055B" w:rsidRPr="006C78BF" w:rsidRDefault="00CB055B" w:rsidP="00C8213D">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Larissa Büsch</w:t>
            </w:r>
          </w:p>
          <w:p w14:paraId="5ABB875B" w14:textId="77777777" w:rsidR="00CB055B" w:rsidRPr="006C78BF" w:rsidRDefault="00CB055B" w:rsidP="00C8213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6744A378" w14:textId="5EF674B1" w:rsidR="00CB055B" w:rsidRPr="006C78BF" w:rsidRDefault="00CB055B" w:rsidP="00C8213D">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w:t>
            </w:r>
            <w:r w:rsidR="009A182F">
              <w:rPr>
                <w:rFonts w:asciiTheme="minorBidi" w:hAnsiTheme="minorBidi" w:cstheme="minorBidi"/>
                <w:snapToGrid w:val="0"/>
                <w:sz w:val="16"/>
                <w:szCs w:val="16"/>
                <w:lang w:val="fr-FR"/>
              </w:rPr>
              <w:t xml:space="preserve"> </w:t>
            </w:r>
            <w:r w:rsidRPr="006C78BF">
              <w:rPr>
                <w:rFonts w:asciiTheme="minorBidi" w:hAnsiTheme="minorBidi" w:cstheme="minorBidi"/>
                <w:snapToGrid w:val="0"/>
                <w:sz w:val="16"/>
                <w:szCs w:val="16"/>
                <w:lang w:val="fr-FR"/>
              </w:rPr>
              <w:t>: +49 6102 8149-173</w:t>
            </w:r>
          </w:p>
          <w:p w14:paraId="4F4024A2" w14:textId="77777777" w:rsidR="00CB055B" w:rsidRPr="006C78BF" w:rsidRDefault="009A182F" w:rsidP="00C8213D">
            <w:pPr>
              <w:widowControl/>
              <w:wordWrap/>
              <w:spacing w:line="276" w:lineRule="auto"/>
              <w:rPr>
                <w:rFonts w:asciiTheme="minorBidi" w:hAnsiTheme="minorBidi" w:cstheme="minorBidi"/>
                <w:color w:val="0000FF"/>
                <w:sz w:val="16"/>
                <w:szCs w:val="16"/>
                <w:u w:val="single"/>
                <w:lang w:val="fr-FR"/>
              </w:rPr>
            </w:pPr>
            <w:hyperlink r:id="rId14" w:history="1">
              <w:r w:rsidR="00CB055B" w:rsidRPr="006C78BF">
                <w:rPr>
                  <w:rFonts w:asciiTheme="minorBidi" w:hAnsiTheme="minorBidi" w:cstheme="minorBidi"/>
                  <w:color w:val="0000FF"/>
                  <w:sz w:val="16"/>
                  <w:szCs w:val="16"/>
                  <w:u w:val="single"/>
                  <w:lang w:val="fr-FR"/>
                </w:rPr>
                <w:t>l.buesch@hankookreifen.de</w:t>
              </w:r>
            </w:hyperlink>
          </w:p>
          <w:p w14:paraId="6ACA4639" w14:textId="77777777" w:rsidR="00CB055B" w:rsidRPr="006C78BF" w:rsidRDefault="00CB055B" w:rsidP="00C8213D">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6CF4DDB5" w14:textId="77777777" w:rsidR="00CB055B" w:rsidRPr="006C78BF" w:rsidRDefault="00CB055B" w:rsidP="00C8213D">
            <w:pPr>
              <w:spacing w:line="276" w:lineRule="auto"/>
              <w:rPr>
                <w:rFonts w:cs="Arial"/>
                <w:b/>
                <w:sz w:val="16"/>
                <w:szCs w:val="16"/>
                <w:lang w:val="fr-FR"/>
              </w:rPr>
            </w:pPr>
            <w:r w:rsidRPr="006C78BF">
              <w:rPr>
                <w:rFonts w:cs="Arial"/>
                <w:b/>
                <w:sz w:val="16"/>
                <w:szCs w:val="16"/>
                <w:lang w:val="fr-FR"/>
              </w:rPr>
              <w:t>Lisa Schmid</w:t>
            </w:r>
          </w:p>
          <w:p w14:paraId="08EA6344" w14:textId="77777777" w:rsidR="00CB055B" w:rsidRPr="006C78BF" w:rsidRDefault="00CB055B" w:rsidP="00C8213D">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22EEDA95" w14:textId="60D35E97" w:rsidR="00CB055B" w:rsidRPr="006C78BF" w:rsidRDefault="00CB055B" w:rsidP="00C8213D">
            <w:pPr>
              <w:spacing w:line="276" w:lineRule="auto"/>
              <w:rPr>
                <w:rFonts w:cs="Arial"/>
                <w:snapToGrid w:val="0"/>
                <w:sz w:val="16"/>
                <w:szCs w:val="16"/>
                <w:lang w:val="fr-FR"/>
              </w:rPr>
            </w:pPr>
            <w:r w:rsidRPr="006C78BF">
              <w:rPr>
                <w:rFonts w:cs="Arial"/>
                <w:snapToGrid w:val="0"/>
                <w:sz w:val="16"/>
                <w:szCs w:val="16"/>
                <w:lang w:val="fr-FR"/>
              </w:rPr>
              <w:t>Tél.</w:t>
            </w:r>
            <w:proofErr w:type="gramStart"/>
            <w:r w:rsidR="009A182F">
              <w:rPr>
                <w:rFonts w:cs="Arial"/>
                <w:snapToGrid w:val="0"/>
                <w:sz w:val="16"/>
                <w:szCs w:val="16"/>
                <w:lang w:val="fr-FR"/>
              </w:rPr>
              <w:t xml:space="preserve"> </w:t>
            </w:r>
            <w:r w:rsidRPr="006C78BF">
              <w:rPr>
                <w:rFonts w:cs="Arial"/>
                <w:snapToGrid w:val="0"/>
                <w:sz w:val="16"/>
                <w:szCs w:val="16"/>
                <w:lang w:val="fr-FR"/>
              </w:rPr>
              <w:t>:+</w:t>
            </w:r>
            <w:proofErr w:type="gramEnd"/>
            <w:r w:rsidRPr="006C78BF">
              <w:rPr>
                <w:rFonts w:cs="Arial"/>
                <w:snapToGrid w:val="0"/>
                <w:sz w:val="16"/>
                <w:szCs w:val="16"/>
                <w:lang w:val="fr-FR"/>
              </w:rPr>
              <w:t>49 6102 8149-172</w:t>
            </w:r>
          </w:p>
          <w:p w14:paraId="4044466B" w14:textId="77777777" w:rsidR="00CB055B" w:rsidRPr="006C78BF" w:rsidRDefault="009A182F" w:rsidP="00C8213D">
            <w:pPr>
              <w:widowControl/>
              <w:wordWrap/>
              <w:spacing w:line="276" w:lineRule="auto"/>
              <w:rPr>
                <w:rFonts w:asciiTheme="minorBidi" w:hAnsiTheme="minorBidi" w:cstheme="minorBidi"/>
                <w:sz w:val="16"/>
                <w:szCs w:val="16"/>
                <w:lang w:val="fr-FR"/>
              </w:rPr>
            </w:pPr>
            <w:hyperlink r:id="rId15" w:history="1">
              <w:r w:rsidR="00CB055B" w:rsidRPr="006C78BF">
                <w:rPr>
                  <w:rFonts w:cs="Arial"/>
                  <w:color w:val="0000FF"/>
                  <w:sz w:val="16"/>
                  <w:szCs w:val="16"/>
                  <w:u w:val="single"/>
                  <w:lang w:val="fr-FR" w:eastAsia="de-DE"/>
                </w:rPr>
                <w:t>l.schmid@hankookn.com</w:t>
              </w:r>
            </w:hyperlink>
          </w:p>
        </w:tc>
        <w:tc>
          <w:tcPr>
            <w:tcW w:w="1383" w:type="pct"/>
            <w:shd w:val="clear" w:color="auto" w:fill="F2F2F2"/>
          </w:tcPr>
          <w:p w14:paraId="557BCE80" w14:textId="77777777" w:rsidR="00CB055B" w:rsidRPr="006C78BF" w:rsidRDefault="00CB055B" w:rsidP="00FC334B">
            <w:pPr>
              <w:widowControl/>
              <w:wordWrap/>
              <w:spacing w:line="276" w:lineRule="auto"/>
              <w:rPr>
                <w:rFonts w:asciiTheme="minorBidi" w:hAnsiTheme="minorBidi" w:cstheme="minorBidi"/>
                <w:sz w:val="16"/>
                <w:szCs w:val="16"/>
                <w:lang w:val="en-GB"/>
              </w:rPr>
            </w:pPr>
          </w:p>
        </w:tc>
      </w:tr>
    </w:tbl>
    <w:p w14:paraId="7148496F" w14:textId="77777777" w:rsidR="00CB055B" w:rsidRPr="006C78BF" w:rsidRDefault="00CB055B" w:rsidP="00CB055B">
      <w:pPr>
        <w:widowControl/>
        <w:wordWrap/>
        <w:rPr>
          <w:rFonts w:asciiTheme="minorBidi" w:hAnsiTheme="minorBidi" w:cstheme="minorBidi"/>
          <w:sz w:val="2"/>
          <w:szCs w:val="2"/>
        </w:rPr>
      </w:pPr>
    </w:p>
    <w:p w14:paraId="7D36128B" w14:textId="77777777" w:rsidR="00CB055B" w:rsidRPr="00C36613" w:rsidRDefault="00CB055B" w:rsidP="00CB055B">
      <w:pPr>
        <w:widowControl/>
        <w:wordWrap/>
        <w:spacing w:line="360" w:lineRule="auto"/>
        <w:jc w:val="left"/>
        <w:rPr>
          <w:rFonts w:asciiTheme="minorBidi" w:hAnsiTheme="minorBidi" w:cstheme="minorBidi"/>
          <w:sz w:val="2"/>
          <w:szCs w:val="2"/>
        </w:rPr>
      </w:pPr>
    </w:p>
    <w:p w14:paraId="548C7E35" w14:textId="77777777" w:rsidR="00CB055B" w:rsidRPr="00981500" w:rsidRDefault="00CB055B" w:rsidP="00442725">
      <w:pPr>
        <w:pStyle w:val="Listenabsatz"/>
        <w:wordWrap/>
        <w:snapToGrid w:val="0"/>
        <w:spacing w:line="276" w:lineRule="auto"/>
        <w:ind w:left="0"/>
        <w:rPr>
          <w:rFonts w:eastAsia="Hankook Regular" w:cs="Arial"/>
          <w:szCs w:val="20"/>
        </w:rPr>
      </w:pPr>
    </w:p>
    <w:sectPr w:rsidR="00CB055B" w:rsidRPr="00981500"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Dotum"/>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fr-FR" w:bidi="fr-FR"/>
      </w:rPr>
      <w:drawing>
        <wp:anchor distT="0" distB="0" distL="114300" distR="114300" simplePos="0" relativeHeight="251658240" behindDoc="0" locked="0" layoutInCell="1" allowOverlap="1" wp14:anchorId="4E99653F" wp14:editId="157A0374">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3DCF"/>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182F"/>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055B"/>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34B"/>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7664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2022-05-11T13:11:00Z</cp:lastPrinted>
  <dcterms:created xsi:type="dcterms:W3CDTF">2022-05-11T14:41:00Z</dcterms:created>
  <dcterms:modified xsi:type="dcterms:W3CDTF">2022-05-16T11:17:00Z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