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381A" w14:textId="78FEBCB0" w:rsidR="00651BCF" w:rsidRPr="00651BCF" w:rsidRDefault="00F97FE5" w:rsidP="00651BCF">
      <w:pPr>
        <w:tabs>
          <w:tab w:val="left" w:pos="142"/>
        </w:tabs>
        <w:suppressAutoHyphens/>
        <w:wordWrap/>
        <w:autoSpaceDE/>
        <w:jc w:val="center"/>
        <w:rPr>
          <w:rFonts w:ascii="Helvetica" w:eastAsia="Times New Roman" w:hAnsi="Helvetica"/>
          <w:b/>
          <w:kern w:val="0"/>
          <w:sz w:val="32"/>
          <w:szCs w:val="32"/>
          <w:lang w:val="sv-SE" w:eastAsia="en-GB" w:bidi="en-GB"/>
        </w:rPr>
      </w:pPr>
      <w:r w:rsidRPr="00651BCF">
        <w:rPr>
          <w:rFonts w:ascii="Helvetica" w:eastAsia="Times New Roman" w:hAnsi="Helvetica" w:cs="Helvetica"/>
          <w:b/>
          <w:kern w:val="0"/>
          <w:sz w:val="32"/>
          <w:szCs w:val="32"/>
          <w:lang w:val="sv-SE" w:bidi="sv-SE"/>
        </w:rPr>
        <w:t>Hankook Tire presenterar finansiella resultat för 2021</w:t>
      </w:r>
    </w:p>
    <w:p w14:paraId="5F99A1F3" w14:textId="77777777" w:rsidR="00651BCF" w:rsidRPr="00651BCF" w:rsidRDefault="00651BCF" w:rsidP="00651BCF">
      <w:pPr>
        <w:tabs>
          <w:tab w:val="left" w:pos="142"/>
        </w:tabs>
        <w:suppressAutoHyphens/>
        <w:wordWrap/>
        <w:autoSpaceDE/>
        <w:jc w:val="center"/>
        <w:rPr>
          <w:rFonts w:ascii="Helvetica" w:eastAsia="Times New Roman" w:hAnsi="Helvetica"/>
          <w:b/>
          <w:kern w:val="0"/>
          <w:sz w:val="32"/>
          <w:szCs w:val="32"/>
          <w:lang w:val="sv-SE" w:eastAsia="en-GB" w:bidi="en-GB"/>
        </w:rPr>
      </w:pPr>
    </w:p>
    <w:p w14:paraId="65C0100E" w14:textId="75663A1B" w:rsidR="00097D29" w:rsidRPr="00651BCF" w:rsidRDefault="0077635F" w:rsidP="00F27D0D">
      <w:pPr>
        <w:suppressAutoHyphens/>
        <w:wordWrap/>
        <w:autoSpaceDE/>
        <w:spacing w:line="276" w:lineRule="auto"/>
        <w:rPr>
          <w:rFonts w:ascii="Times New Roman" w:eastAsia="Times New Roman"/>
          <w:b/>
          <w:color w:val="00000A"/>
          <w:kern w:val="0"/>
          <w:sz w:val="22"/>
          <w:szCs w:val="22"/>
          <w:lang w:val="sv-SE" w:eastAsia="en-GB" w:bidi="en-GB"/>
        </w:rPr>
      </w:pPr>
      <w:r w:rsidRPr="00651BCF">
        <w:rPr>
          <w:rFonts w:ascii="Times New Roman" w:eastAsia="Hankook Regular"/>
          <w:b/>
          <w:sz w:val="22"/>
          <w:szCs w:val="22"/>
          <w:lang w:val="sv-SE" w:bidi="sv-SE"/>
        </w:rPr>
        <w:t>Däcktillverkaren Hankook har offentliggjort sitt resultat för räkenskapsåret 2021. Företaget nådde en global försäljning på 7 142 biljoner KRW (~ 5 279 miljoner euro) och ökade rörelsevinsten med 2,2 procent till 641 miljarder KRW (~ 474 miljoner euro). En viktig försäljningsdrivare för Hankook var däck med stor diameter (däck som mäter 18 tum och mer). Denna kategori av däck stod för 37,7</w:t>
      </w:r>
      <w:r w:rsidR="00651BCF" w:rsidRPr="00651BCF">
        <w:rPr>
          <w:rFonts w:ascii="Times New Roman" w:eastAsia="Hankook Regular"/>
          <w:b/>
          <w:sz w:val="22"/>
          <w:szCs w:val="22"/>
          <w:lang w:val="sv-SE" w:bidi="sv-SE"/>
        </w:rPr>
        <w:t> </w:t>
      </w:r>
      <w:r w:rsidRPr="00651BCF">
        <w:rPr>
          <w:rFonts w:ascii="Times New Roman" w:eastAsia="Hankook Regular"/>
          <w:b/>
          <w:sz w:val="22"/>
          <w:szCs w:val="22"/>
          <w:lang w:val="sv-SE" w:bidi="sv-SE"/>
        </w:rPr>
        <w:t>procent av den totala försäljningen av bildäck, vilket motsvarar en ökning på 3,1</w:t>
      </w:r>
      <w:r w:rsidR="00651BCF" w:rsidRPr="00651BCF">
        <w:rPr>
          <w:rFonts w:ascii="Times New Roman" w:eastAsia="Hankook Regular"/>
          <w:b/>
          <w:sz w:val="22"/>
          <w:szCs w:val="22"/>
          <w:lang w:val="sv-SE" w:bidi="sv-SE"/>
        </w:rPr>
        <w:t> </w:t>
      </w:r>
      <w:r w:rsidRPr="00651BCF">
        <w:rPr>
          <w:rFonts w:ascii="Times New Roman" w:eastAsia="Hankook Regular"/>
          <w:b/>
          <w:sz w:val="22"/>
          <w:szCs w:val="22"/>
          <w:lang w:val="sv-SE" w:bidi="sv-SE"/>
        </w:rPr>
        <w:t>procentenheter i jämförelse med föregående år.</w:t>
      </w:r>
    </w:p>
    <w:p w14:paraId="46516333" w14:textId="77777777" w:rsidR="00216FEE" w:rsidRPr="00651BCF" w:rsidRDefault="00216FEE" w:rsidP="00F27D0D">
      <w:pPr>
        <w:suppressAutoHyphens/>
        <w:wordWrap/>
        <w:autoSpaceDE/>
        <w:spacing w:line="276" w:lineRule="auto"/>
        <w:rPr>
          <w:rFonts w:ascii="Times New Roman" w:eastAsia="Times New Roman"/>
          <w:b/>
          <w:color w:val="00000A"/>
          <w:kern w:val="0"/>
          <w:sz w:val="22"/>
          <w:szCs w:val="22"/>
          <w:lang w:val="sv-SE" w:eastAsia="en-GB" w:bidi="en-GB"/>
        </w:rPr>
      </w:pPr>
    </w:p>
    <w:p w14:paraId="03FF11A2" w14:textId="47C9EDE3" w:rsidR="00DB1E78" w:rsidRPr="00651BCF" w:rsidRDefault="00070D77" w:rsidP="00F27D0D">
      <w:pPr>
        <w:wordWrap/>
        <w:spacing w:line="276" w:lineRule="auto"/>
        <w:contextualSpacing/>
        <w:rPr>
          <w:rFonts w:ascii="Times New Roman" w:eastAsia="Hankook Regular"/>
          <w:sz w:val="21"/>
          <w:szCs w:val="21"/>
          <w:lang w:val="sv-SE"/>
        </w:rPr>
      </w:pPr>
      <w:r w:rsidRPr="00651BCF">
        <w:rPr>
          <w:rFonts w:ascii="Times New Roman" w:eastAsia="Times New Roman"/>
          <w:b/>
          <w:i/>
          <w:color w:val="00000A"/>
          <w:kern w:val="0"/>
          <w:sz w:val="21"/>
          <w:szCs w:val="20"/>
          <w:lang w:val="sv-SE" w:bidi="sv-SE"/>
        </w:rPr>
        <w:t xml:space="preserve">Seoul, Korea / Neu-Isenburg, Tyskland, </w:t>
      </w:r>
      <w:r w:rsidR="00F27D0D">
        <w:rPr>
          <w:rFonts w:ascii="Times New Roman" w:eastAsia="Times New Roman"/>
          <w:b/>
          <w:i/>
          <w:color w:val="00000A"/>
          <w:kern w:val="0"/>
          <w:sz w:val="21"/>
          <w:szCs w:val="20"/>
          <w:lang w:val="sv-SE" w:bidi="sv-SE"/>
        </w:rPr>
        <w:t>1</w:t>
      </w:r>
      <w:r w:rsidRPr="00651BCF">
        <w:rPr>
          <w:rFonts w:ascii="Times New Roman" w:eastAsia="Times New Roman"/>
          <w:b/>
          <w:i/>
          <w:color w:val="00000A"/>
          <w:kern w:val="0"/>
          <w:sz w:val="21"/>
          <w:szCs w:val="20"/>
          <w:lang w:val="sv-SE" w:bidi="sv-SE"/>
        </w:rPr>
        <w:t>4 februari 2022</w:t>
      </w:r>
      <w:r w:rsidR="002413C6" w:rsidRPr="00651BCF">
        <w:rPr>
          <w:rFonts w:ascii="Times New Roman" w:eastAsia="Times New Roman"/>
          <w:color w:val="00000A"/>
          <w:kern w:val="0"/>
          <w:sz w:val="21"/>
          <w:szCs w:val="21"/>
          <w:lang w:val="sv-SE" w:bidi="sv-SE"/>
        </w:rPr>
        <w:t xml:space="preserve"> – </w:t>
      </w:r>
      <w:r w:rsidR="00B174F8" w:rsidRPr="00651BCF">
        <w:rPr>
          <w:rFonts w:ascii="Times New Roman" w:eastAsia="Hankook Regular"/>
          <w:sz w:val="21"/>
          <w:szCs w:val="21"/>
          <w:lang w:val="sv-SE" w:bidi="sv-SE"/>
        </w:rPr>
        <w:t>Däcktillverkaren Hankook Tire &amp; Technology tillkännagav sina finansiella resultat för 2021 med en konsoliderad global försäljning på 7 142 biljoner KRW (~ 5 279 miljoner EUR) och en rörelsevinst på 641 miljarder KRW (EUR) ~474m).</w:t>
      </w:r>
    </w:p>
    <w:p w14:paraId="6B541E1C" w14:textId="77777777" w:rsidR="00DB1E78" w:rsidRPr="00651BCF" w:rsidRDefault="00DB1E78" w:rsidP="00F27D0D">
      <w:pPr>
        <w:wordWrap/>
        <w:spacing w:line="276" w:lineRule="auto"/>
        <w:contextualSpacing/>
        <w:rPr>
          <w:rFonts w:ascii="Times New Roman" w:eastAsia="Hankook Regular"/>
          <w:sz w:val="21"/>
          <w:szCs w:val="21"/>
          <w:lang w:val="sv-SE"/>
        </w:rPr>
      </w:pPr>
    </w:p>
    <w:p w14:paraId="15140319" w14:textId="17353D6B" w:rsidR="00DB1E78" w:rsidRPr="00651BCF" w:rsidRDefault="00DB1E78" w:rsidP="00F27D0D">
      <w:pPr>
        <w:wordWrap/>
        <w:spacing w:line="276" w:lineRule="auto"/>
        <w:contextualSpacing/>
        <w:rPr>
          <w:rFonts w:ascii="Times New Roman" w:eastAsia="Hankook Regular"/>
          <w:sz w:val="21"/>
          <w:szCs w:val="21"/>
          <w:lang w:val="sv-SE"/>
        </w:rPr>
      </w:pPr>
      <w:r w:rsidRPr="00651BCF">
        <w:rPr>
          <w:rFonts w:ascii="Times New Roman" w:eastAsia="Hankook Regular"/>
          <w:sz w:val="21"/>
          <w:szCs w:val="21"/>
          <w:lang w:val="sv-SE" w:bidi="sv-SE"/>
        </w:rPr>
        <w:t>Efter att ha noterat en stabil försäljning i större regioner under första halvåret av 2021 kunde Hankook Tire fortsätta sin stadiga tillväxt. Detta i en försäljningsökning på 10,7 procent samt en ökning av rörelsevinsten med 2,2 procent jämfört med föregående år. Under andra halvåret tvingades den globala ekonomin att kollektivt hantera problem som ökade kostnader för råmaterial, halvledarbrist och globala avbrott i leveranskedjan. Hankook visade sig motståndskraftig med lovande affärsresultat, trots avstannad ökning. Viktiga faktorer som bidrog var en fortsatt ökning av försäljningen av ersättningsdäck, en effektiv regional prisstrategi samt stark försäljning av däck med stor diameter.  Försäljningen av däck med stor diameter (18 tum eller mer) ökade med 3,1 procentenheter (pp) jämfört med föregående år, vilket motsvarar 37,7 procent av den totala försäljningen av personbilsdäck.</w:t>
      </w:r>
    </w:p>
    <w:p w14:paraId="3BC7915A" w14:textId="77777777" w:rsidR="00DB1E78" w:rsidRPr="00651BCF" w:rsidRDefault="00DB1E78" w:rsidP="00F27D0D">
      <w:pPr>
        <w:wordWrap/>
        <w:spacing w:line="276" w:lineRule="auto"/>
        <w:contextualSpacing/>
        <w:rPr>
          <w:rFonts w:ascii="Times New Roman" w:eastAsia="Hankook Regular"/>
          <w:sz w:val="21"/>
          <w:szCs w:val="21"/>
          <w:lang w:val="sv-SE"/>
        </w:rPr>
      </w:pPr>
    </w:p>
    <w:p w14:paraId="721FF72B" w14:textId="345B4CEF" w:rsidR="00DB1E78" w:rsidRPr="00651BCF" w:rsidRDefault="00DB1E78" w:rsidP="00F27D0D">
      <w:pPr>
        <w:wordWrap/>
        <w:spacing w:line="276" w:lineRule="auto"/>
        <w:contextualSpacing/>
        <w:rPr>
          <w:rFonts w:ascii="Times New Roman" w:eastAsia="Hankook Regular"/>
          <w:strike/>
          <w:sz w:val="21"/>
          <w:szCs w:val="21"/>
          <w:lang w:val="sv-SE"/>
        </w:rPr>
      </w:pPr>
      <w:r w:rsidRPr="00651BCF">
        <w:rPr>
          <w:rFonts w:ascii="Times New Roman" w:eastAsia="Hankook Regular"/>
          <w:sz w:val="21"/>
          <w:szCs w:val="21"/>
          <w:lang w:val="sv-SE" w:bidi="sv-SE"/>
        </w:rPr>
        <w:t xml:space="preserve">Fjärde kvartalet innebar ett hinder på vägen för Hankook Tire. Företaget såg en nedgång i försäljningsintäkterna till 1 889 biljoner KRW (~ 1 397 miljoner euro), medan rörelsevinsten sjönk med 61,3 procent på årsbasis och 51,3 procent på kvartalsbasis till 87,9 miljarder KRW. Denna minskning berodde till stor del på ökade driftskostnader och uppskjutna försäljningsmöjligheter orsakade av strejker vid Hankooks fabriker i Daejeon och Geumsan i Korea. </w:t>
      </w:r>
    </w:p>
    <w:p w14:paraId="4F5A25C8" w14:textId="77777777" w:rsidR="00DB1E78" w:rsidRPr="00651BCF" w:rsidRDefault="00DB1E78" w:rsidP="00F27D0D">
      <w:pPr>
        <w:wordWrap/>
        <w:spacing w:line="276" w:lineRule="auto"/>
        <w:contextualSpacing/>
        <w:rPr>
          <w:rFonts w:ascii="Times New Roman" w:eastAsia="Hankook Regular"/>
          <w:sz w:val="21"/>
          <w:szCs w:val="21"/>
          <w:lang w:val="sv-SE"/>
        </w:rPr>
      </w:pPr>
    </w:p>
    <w:p w14:paraId="5068388E" w14:textId="70560066" w:rsidR="00DB1E78" w:rsidRPr="00651BCF" w:rsidRDefault="00DB1E78" w:rsidP="00F27D0D">
      <w:pPr>
        <w:wordWrap/>
        <w:spacing w:line="276" w:lineRule="auto"/>
        <w:contextualSpacing/>
        <w:rPr>
          <w:rFonts w:ascii="Times New Roman" w:eastAsia="Hankook Regular"/>
          <w:sz w:val="21"/>
          <w:szCs w:val="21"/>
          <w:lang w:val="sv-SE"/>
        </w:rPr>
      </w:pPr>
      <w:r w:rsidRPr="00651BCF">
        <w:rPr>
          <w:rFonts w:ascii="Times New Roman" w:eastAsia="Hankook Regular"/>
          <w:sz w:val="21"/>
          <w:szCs w:val="21"/>
          <w:lang w:val="sv-SE" w:bidi="sv-SE"/>
        </w:rPr>
        <w:t>Försäljningen av däck med stor diameter blev dock återigen drivkraften i tillväxten. Försäljningen av däck med stor diameter ökade med 1,5 procentenheter på årsbasis för att svara för 38,9 procent av den totala försäljningen av personbilsdäck under fjärde kvartalet. Framför allt försäljningen av däck med stor diameter i Kina uppgick till 46,4 procent av den totala försäljningen, en ökning med 6,7 procentenheter på årsbasis. På andra marknader var också försäljningen av däck med stor diameter stark med ökningar på 2pp i Europa och 2,9pp i Korea.</w:t>
      </w:r>
    </w:p>
    <w:p w14:paraId="494E83B1" w14:textId="77777777" w:rsidR="00DB1E78" w:rsidRPr="00651BCF" w:rsidRDefault="00DB1E78" w:rsidP="00F27D0D">
      <w:pPr>
        <w:wordWrap/>
        <w:spacing w:line="276" w:lineRule="auto"/>
        <w:contextualSpacing/>
        <w:rPr>
          <w:rFonts w:ascii="Times New Roman" w:eastAsia="Hankook Regular"/>
          <w:sz w:val="21"/>
          <w:szCs w:val="21"/>
          <w:lang w:val="sv-SE"/>
        </w:rPr>
      </w:pPr>
    </w:p>
    <w:p w14:paraId="641EEA8D" w14:textId="61C65CAA" w:rsidR="00DB1E78" w:rsidRPr="00651BCF" w:rsidRDefault="00DB1E78" w:rsidP="00F27D0D">
      <w:pPr>
        <w:wordWrap/>
        <w:spacing w:line="276" w:lineRule="auto"/>
        <w:contextualSpacing/>
        <w:rPr>
          <w:rFonts w:ascii="Times New Roman" w:eastAsia="Hankook Regular"/>
          <w:kern w:val="0"/>
          <w:sz w:val="21"/>
          <w:szCs w:val="21"/>
          <w:lang w:val="sv-SE"/>
        </w:rPr>
      </w:pPr>
      <w:r w:rsidRPr="00651BCF">
        <w:rPr>
          <w:rFonts w:ascii="Times New Roman" w:eastAsia="Hankook Regular"/>
          <w:kern w:val="0"/>
          <w:sz w:val="21"/>
          <w:szCs w:val="21"/>
          <w:lang w:val="sv-SE" w:bidi="sv-SE"/>
        </w:rPr>
        <w:t>Samtidigt fortsatte Hankook Tire att få ett tydligt erkännande för sin produktkvalitet och sin hållbara tillverkning. Förra året fick Hankook</w:t>
      </w:r>
      <w:r w:rsidRPr="00651BCF">
        <w:rPr>
          <w:rFonts w:ascii="Times New Roman" w:eastAsia="Hankook Regular"/>
          <w:sz w:val="21"/>
          <w:szCs w:val="21"/>
          <w:lang w:val="sv-SE" w:bidi="sv-SE"/>
        </w:rPr>
        <w:t xml:space="preserve"> högsta betyg i flertalet däcktester utförda av ledande biltidningar i både Tyskland och Storbritannien. Auto Bild som är </w:t>
      </w:r>
      <w:r w:rsidRPr="00651BCF">
        <w:rPr>
          <w:rFonts w:ascii="Times New Roman" w:eastAsia="Hankook Regular"/>
          <w:kern w:val="0"/>
          <w:sz w:val="21"/>
          <w:szCs w:val="21"/>
          <w:lang w:val="sv-SE" w:bidi="sv-SE"/>
        </w:rPr>
        <w:t>Europas mest ansedda biltidning belönade</w:t>
      </w:r>
      <w:r w:rsidRPr="00651BCF">
        <w:rPr>
          <w:rFonts w:ascii="Times New Roman" w:eastAsia="Hankook Regular"/>
          <w:sz w:val="21"/>
          <w:szCs w:val="21"/>
          <w:lang w:val="sv-SE" w:bidi="sv-SE"/>
        </w:rPr>
        <w:t xml:space="preserve"> Hankook Tire </w:t>
      </w:r>
      <w:r w:rsidRPr="00651BCF">
        <w:rPr>
          <w:rFonts w:ascii="Times New Roman" w:eastAsia="Hankook Regular"/>
          <w:kern w:val="0"/>
          <w:sz w:val="21"/>
          <w:szCs w:val="21"/>
          <w:lang w:val="sv-SE" w:bidi="sv-SE"/>
        </w:rPr>
        <w:t>med "Årets däcktillverkare" i kategorin för året-runt-däck. Hankook listades dessutom för sjätte året i rad i</w:t>
      </w:r>
      <w:r w:rsidRPr="00651BCF">
        <w:rPr>
          <w:rFonts w:ascii="Times New Roman" w:eastAsia="Hankook Regular"/>
          <w:sz w:val="21"/>
          <w:szCs w:val="21"/>
          <w:lang w:val="sv-SE" w:bidi="sv-SE"/>
        </w:rPr>
        <w:t xml:space="preserve"> Dow</w:t>
      </w:r>
      <w:r w:rsidR="00651BCF">
        <w:rPr>
          <w:rFonts w:ascii="Times New Roman" w:eastAsia="Hankook Regular"/>
          <w:sz w:val="21"/>
          <w:szCs w:val="21"/>
          <w:lang w:val="sv-SE" w:bidi="sv-SE"/>
        </w:rPr>
        <w:t> </w:t>
      </w:r>
      <w:r w:rsidRPr="00651BCF">
        <w:rPr>
          <w:rFonts w:ascii="Times New Roman" w:eastAsia="Hankook Regular"/>
          <w:sz w:val="21"/>
          <w:szCs w:val="21"/>
          <w:lang w:val="sv-SE" w:bidi="sv-SE"/>
        </w:rPr>
        <w:t xml:space="preserve">Jones Sustainability Indices World som </w:t>
      </w:r>
      <w:r w:rsidRPr="00651BCF">
        <w:rPr>
          <w:rFonts w:ascii="Times New Roman" w:eastAsia="Hankook Regular"/>
          <w:kern w:val="0"/>
          <w:sz w:val="21"/>
          <w:szCs w:val="21"/>
          <w:lang w:val="sv-SE" w:bidi="sv-SE"/>
        </w:rPr>
        <w:t>utser globala hållbarhetsledare.</w:t>
      </w:r>
    </w:p>
    <w:p w14:paraId="1119077B" w14:textId="77777777" w:rsidR="00DB1E78" w:rsidRPr="00651BCF" w:rsidRDefault="00DB1E78" w:rsidP="00F27D0D">
      <w:pPr>
        <w:wordWrap/>
        <w:spacing w:line="276" w:lineRule="auto"/>
        <w:contextualSpacing/>
        <w:rPr>
          <w:rFonts w:ascii="Times New Roman" w:eastAsia="Hankook Regular"/>
          <w:sz w:val="21"/>
          <w:szCs w:val="21"/>
          <w:lang w:val="sv-SE"/>
        </w:rPr>
      </w:pPr>
    </w:p>
    <w:p w14:paraId="0840AE83" w14:textId="16FB1A0A" w:rsidR="00DB1E78" w:rsidRPr="00651BCF" w:rsidRDefault="00DB1E78" w:rsidP="00F27D0D">
      <w:pPr>
        <w:wordWrap/>
        <w:spacing w:line="276" w:lineRule="auto"/>
        <w:contextualSpacing/>
        <w:rPr>
          <w:rFonts w:ascii="Times New Roman" w:eastAsia="Hankook Regular"/>
          <w:sz w:val="21"/>
          <w:szCs w:val="21"/>
          <w:lang w:val="sv-SE"/>
        </w:rPr>
      </w:pPr>
      <w:r w:rsidRPr="00651BCF">
        <w:rPr>
          <w:rFonts w:ascii="Times New Roman" w:eastAsia="Hankook Regular"/>
          <w:sz w:val="21"/>
          <w:szCs w:val="21"/>
          <w:lang w:val="sv-SE" w:bidi="sv-SE"/>
        </w:rPr>
        <w:t xml:space="preserve">Hankook stärkte även sin position inom premium-originalutrustningssektorn (OE) samt däcksektorn för elfordon (EV) under 2021, då företaget började utrusta Porsche Panamera, BMW X3M och X4M, samtidigt som EV-däcken monterades på Audi e- tron GT och Volkswagen ID.4. </w:t>
      </w:r>
    </w:p>
    <w:p w14:paraId="34738D3D" w14:textId="77777777" w:rsidR="00DB1E78" w:rsidRPr="00651BCF" w:rsidRDefault="00DB1E78" w:rsidP="00F27D0D">
      <w:pPr>
        <w:wordWrap/>
        <w:spacing w:line="276" w:lineRule="auto"/>
        <w:contextualSpacing/>
        <w:rPr>
          <w:rFonts w:ascii="Times New Roman" w:eastAsia="Hankook Regular"/>
          <w:sz w:val="21"/>
          <w:szCs w:val="21"/>
          <w:lang w:val="sv-SE"/>
        </w:rPr>
      </w:pPr>
    </w:p>
    <w:p w14:paraId="4FFE3919" w14:textId="23ED2D24" w:rsidR="00DB1E78" w:rsidRPr="00651BCF" w:rsidRDefault="00DB1E78" w:rsidP="00F27D0D">
      <w:pPr>
        <w:wordWrap/>
        <w:spacing w:line="276" w:lineRule="auto"/>
        <w:contextualSpacing/>
        <w:rPr>
          <w:rFonts w:ascii="Times New Roman" w:eastAsia="Hankook Regular"/>
          <w:sz w:val="21"/>
          <w:szCs w:val="21"/>
          <w:lang w:val="sv-SE"/>
        </w:rPr>
      </w:pPr>
      <w:r w:rsidRPr="00651BCF">
        <w:rPr>
          <w:rFonts w:ascii="Times New Roman" w:eastAsia="Hankook Regular"/>
          <w:sz w:val="21"/>
          <w:szCs w:val="21"/>
          <w:lang w:val="sv-SE" w:bidi="sv-SE"/>
        </w:rPr>
        <w:t xml:space="preserve">Hankook förväntar sig att varumärkesvärdet kommer att öka ytterligare under 2022. Bolaget siktar på att uppnå tvåsiffrig tillväxt i år och att öka försäljningsandelen för däck med stor diameter till 42 procent av den totala försäljningen av personbilsdäck. Hankook kommer att intensifiera sitt fokus på att stärka sin verksamhet på </w:t>
      </w:r>
      <w:r w:rsidRPr="00651BCF">
        <w:rPr>
          <w:rFonts w:ascii="Times New Roman" w:eastAsia="Hankook Regular"/>
          <w:sz w:val="21"/>
          <w:szCs w:val="21"/>
          <w:lang w:val="sv-SE" w:bidi="sv-SE"/>
        </w:rPr>
        <w:lastRenderedPageBreak/>
        <w:t>stora marknader, utöka OE-partnerskapen med globala premiumbiltillverkare och ta ledningen inom segmentet för däck till elbilar. Hankook kommer att vara däckleverantör och teknisk partner för ABB FIA Formula E World Championship från och med fjärde kvartalet i år.</w:t>
      </w:r>
    </w:p>
    <w:p w14:paraId="66E1490C" w14:textId="77777777" w:rsidR="00DB1E78" w:rsidRPr="00651BCF" w:rsidRDefault="00DB1E78" w:rsidP="00B16EFB">
      <w:pPr>
        <w:wordWrap/>
        <w:spacing w:line="360" w:lineRule="auto"/>
        <w:contextualSpacing/>
        <w:rPr>
          <w:rFonts w:ascii="Times New Roman" w:eastAsia="Hankook Regular"/>
          <w:sz w:val="21"/>
          <w:szCs w:val="21"/>
          <w:lang w:val="sv-SE"/>
        </w:rPr>
      </w:pPr>
    </w:p>
    <w:p w14:paraId="6BBC50CF" w14:textId="73369712" w:rsidR="00DB1E78" w:rsidRPr="00651BCF" w:rsidRDefault="00DB1E78" w:rsidP="00651BCF">
      <w:pPr>
        <w:keepNext/>
        <w:widowControl/>
        <w:wordWrap/>
        <w:autoSpaceDE/>
        <w:autoSpaceDN/>
        <w:spacing w:line="276" w:lineRule="auto"/>
        <w:jc w:val="left"/>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Koncernresultat för fjärde kvartalet 2021*</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B1E78" w:rsidRPr="00651BCF" w14:paraId="127A9A41" w14:textId="77777777" w:rsidTr="00AE21DD">
        <w:trPr>
          <w:trHeight w:val="342"/>
        </w:trPr>
        <w:tc>
          <w:tcPr>
            <w:tcW w:w="2259" w:type="dxa"/>
            <w:tcBorders>
              <w:bottom w:val="double" w:sz="4" w:space="0" w:color="auto"/>
              <w:right w:val="double" w:sz="4" w:space="0" w:color="auto"/>
            </w:tcBorders>
            <w:shd w:val="clear" w:color="auto" w:fill="7F7F7F"/>
            <w:vAlign w:val="center"/>
          </w:tcPr>
          <w:p w14:paraId="32751447"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(Enhet: miljarder KRW)</w:t>
            </w:r>
          </w:p>
        </w:tc>
        <w:tc>
          <w:tcPr>
            <w:tcW w:w="2260" w:type="dxa"/>
            <w:tcBorders>
              <w:bottom w:val="double" w:sz="4" w:space="0" w:color="auto"/>
              <w:right w:val="double" w:sz="4" w:space="0" w:color="auto"/>
            </w:tcBorders>
            <w:shd w:val="clear" w:color="auto" w:fill="7F7F7F"/>
            <w:vAlign w:val="center"/>
          </w:tcPr>
          <w:p w14:paraId="5097C407"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Q4 FY 2020</w:t>
            </w:r>
          </w:p>
        </w:tc>
        <w:tc>
          <w:tcPr>
            <w:tcW w:w="2260" w:type="dxa"/>
            <w:tcBorders>
              <w:bottom w:val="double" w:sz="4" w:space="0" w:color="auto"/>
              <w:right w:val="double" w:sz="4" w:space="0" w:color="auto"/>
            </w:tcBorders>
            <w:shd w:val="clear" w:color="auto" w:fill="7F7F7F"/>
            <w:vAlign w:val="center"/>
          </w:tcPr>
          <w:p w14:paraId="69483162"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Q3 FY 2021</w:t>
            </w:r>
          </w:p>
        </w:tc>
        <w:tc>
          <w:tcPr>
            <w:tcW w:w="2260" w:type="dxa"/>
            <w:tcBorders>
              <w:left w:val="double" w:sz="4" w:space="0" w:color="auto"/>
              <w:bottom w:val="double" w:sz="4" w:space="0" w:color="auto"/>
              <w:right w:val="nil"/>
            </w:tcBorders>
            <w:shd w:val="clear" w:color="auto" w:fill="7F7F7F"/>
            <w:vAlign w:val="center"/>
          </w:tcPr>
          <w:p w14:paraId="119B6B93"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Q4 FY 2021</w:t>
            </w:r>
          </w:p>
        </w:tc>
      </w:tr>
      <w:tr w:rsidR="00DB1E78" w:rsidRPr="00651BCF" w14:paraId="23CAF4D7" w14:textId="77777777" w:rsidTr="00AE21DD">
        <w:trPr>
          <w:trHeight w:val="342"/>
        </w:trPr>
        <w:tc>
          <w:tcPr>
            <w:tcW w:w="2259" w:type="dxa"/>
            <w:tcBorders>
              <w:top w:val="double" w:sz="4" w:space="0" w:color="auto"/>
              <w:right w:val="double" w:sz="4" w:space="0" w:color="auto"/>
            </w:tcBorders>
            <w:shd w:val="clear" w:color="auto" w:fill="auto"/>
            <w:vAlign w:val="center"/>
          </w:tcPr>
          <w:p w14:paraId="047C7DC4"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000000"/>
                <w:kern w:val="0"/>
                <w:sz w:val="19"/>
                <w:szCs w:val="19"/>
                <w:lang w:val="en-GB"/>
              </w:rPr>
            </w:pPr>
            <w:r w:rsidRPr="00651BCF">
              <w:rPr>
                <w:rFonts w:ascii="Hankook Regular" w:eastAsia="Hankook Regular" w:hAnsi="Hankook Regular" w:cs="Arial"/>
                <w:b/>
                <w:color w:val="000000"/>
                <w:kern w:val="0"/>
                <w:sz w:val="19"/>
                <w:szCs w:val="19"/>
                <w:lang w:val="sv-SE" w:bidi="sv-SE"/>
              </w:rPr>
              <w:t>Försäljning</w:t>
            </w:r>
          </w:p>
        </w:tc>
        <w:tc>
          <w:tcPr>
            <w:tcW w:w="2260" w:type="dxa"/>
            <w:tcBorders>
              <w:top w:val="double" w:sz="4" w:space="0" w:color="auto"/>
              <w:right w:val="double" w:sz="4" w:space="0" w:color="auto"/>
            </w:tcBorders>
            <w:shd w:val="clear" w:color="auto" w:fill="auto"/>
            <w:vAlign w:val="center"/>
          </w:tcPr>
          <w:p w14:paraId="36F18CFD" w14:textId="77777777" w:rsidR="00DB1E78" w:rsidRPr="00651BCF" w:rsidRDefault="00DB1E78" w:rsidP="00651BCF">
            <w:pPr>
              <w:keepNext/>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1,766</w:t>
            </w:r>
          </w:p>
        </w:tc>
        <w:tc>
          <w:tcPr>
            <w:tcW w:w="2260" w:type="dxa"/>
            <w:tcBorders>
              <w:top w:val="double" w:sz="4" w:space="0" w:color="auto"/>
              <w:right w:val="double" w:sz="4" w:space="0" w:color="auto"/>
            </w:tcBorders>
            <w:shd w:val="clear" w:color="auto" w:fill="auto"/>
            <w:vAlign w:val="center"/>
          </w:tcPr>
          <w:p w14:paraId="6BBA9602" w14:textId="77777777" w:rsidR="00DB1E78" w:rsidRPr="00651BCF" w:rsidRDefault="00DB1E78" w:rsidP="00651BCF">
            <w:pPr>
              <w:keepNext/>
              <w:wordWrap/>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1 829</w:t>
            </w:r>
          </w:p>
        </w:tc>
        <w:tc>
          <w:tcPr>
            <w:tcW w:w="2260" w:type="dxa"/>
            <w:tcBorders>
              <w:top w:val="double" w:sz="4" w:space="0" w:color="auto"/>
              <w:left w:val="double" w:sz="4" w:space="0" w:color="auto"/>
              <w:right w:val="nil"/>
            </w:tcBorders>
            <w:shd w:val="clear" w:color="auto" w:fill="auto"/>
            <w:vAlign w:val="center"/>
          </w:tcPr>
          <w:p w14:paraId="7019AB3B" w14:textId="77777777" w:rsidR="00DB1E78" w:rsidRPr="00651BCF" w:rsidRDefault="00DB1E78" w:rsidP="00651BCF">
            <w:pPr>
              <w:keepNext/>
              <w:wordWrap/>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1 889</w:t>
            </w:r>
          </w:p>
        </w:tc>
      </w:tr>
      <w:tr w:rsidR="00DB1E78" w:rsidRPr="00651BCF" w14:paraId="50368F85" w14:textId="77777777" w:rsidTr="00AE21DD">
        <w:trPr>
          <w:trHeight w:val="342"/>
        </w:trPr>
        <w:tc>
          <w:tcPr>
            <w:tcW w:w="2259" w:type="dxa"/>
            <w:tcBorders>
              <w:right w:val="double" w:sz="4" w:space="0" w:color="auto"/>
            </w:tcBorders>
            <w:shd w:val="clear" w:color="auto" w:fill="auto"/>
            <w:vAlign w:val="center"/>
          </w:tcPr>
          <w:p w14:paraId="3C1FA011" w14:textId="77777777" w:rsidR="00DB1E78" w:rsidRPr="00651BCF" w:rsidRDefault="00DB1E78" w:rsidP="00651BCF">
            <w:pPr>
              <w:wordWrap/>
              <w:spacing w:line="276" w:lineRule="auto"/>
              <w:ind w:rightChars="56" w:right="112"/>
              <w:jc w:val="center"/>
              <w:rPr>
                <w:rFonts w:ascii="Hankook Regular" w:eastAsia="Hankook Regular" w:hAnsi="Hankook Regular" w:cs="Arial"/>
                <w:b/>
                <w:color w:val="000000"/>
                <w:kern w:val="0"/>
                <w:sz w:val="19"/>
                <w:szCs w:val="19"/>
                <w:lang w:val="en-GB"/>
              </w:rPr>
            </w:pPr>
            <w:r w:rsidRPr="00651BCF">
              <w:rPr>
                <w:rFonts w:ascii="Hankook Regular" w:eastAsia="Hankook Regular" w:hAnsi="Hankook Regular" w:cs="Arial"/>
                <w:b/>
                <w:color w:val="000000"/>
                <w:kern w:val="0"/>
                <w:sz w:val="19"/>
                <w:szCs w:val="19"/>
                <w:lang w:val="sv-SE" w:bidi="sv-SE"/>
              </w:rPr>
              <w:t>Rörelseresultat</w:t>
            </w:r>
          </w:p>
        </w:tc>
        <w:tc>
          <w:tcPr>
            <w:tcW w:w="2260" w:type="dxa"/>
            <w:tcBorders>
              <w:right w:val="double" w:sz="4" w:space="0" w:color="auto"/>
            </w:tcBorders>
            <w:shd w:val="clear" w:color="auto" w:fill="auto"/>
            <w:vAlign w:val="center"/>
          </w:tcPr>
          <w:p w14:paraId="244C7C5A" w14:textId="77777777" w:rsidR="00DB1E78" w:rsidRPr="00651BCF" w:rsidRDefault="00DB1E78" w:rsidP="00651BCF">
            <w:pPr>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227</w:t>
            </w:r>
          </w:p>
        </w:tc>
        <w:tc>
          <w:tcPr>
            <w:tcW w:w="2260" w:type="dxa"/>
            <w:tcBorders>
              <w:right w:val="double" w:sz="4" w:space="0" w:color="auto"/>
            </w:tcBorders>
            <w:shd w:val="clear" w:color="auto" w:fill="auto"/>
            <w:vAlign w:val="center"/>
          </w:tcPr>
          <w:p w14:paraId="254B49CF" w14:textId="77777777" w:rsidR="00DB1E78" w:rsidRPr="00651BCF" w:rsidRDefault="00DB1E78" w:rsidP="00651BCF">
            <w:pPr>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180</w:t>
            </w:r>
          </w:p>
        </w:tc>
        <w:tc>
          <w:tcPr>
            <w:tcW w:w="2260" w:type="dxa"/>
            <w:tcBorders>
              <w:left w:val="double" w:sz="4" w:space="0" w:color="auto"/>
              <w:right w:val="nil"/>
            </w:tcBorders>
            <w:shd w:val="clear" w:color="auto" w:fill="auto"/>
            <w:vAlign w:val="center"/>
          </w:tcPr>
          <w:p w14:paraId="545B5E1E" w14:textId="2943728D" w:rsidR="00DB1E78" w:rsidRPr="00651BCF" w:rsidRDefault="00DB1E78" w:rsidP="00651BCF">
            <w:pPr>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87*</w:t>
            </w:r>
          </w:p>
        </w:tc>
      </w:tr>
    </w:tbl>
    <w:p w14:paraId="582CCD5D" w14:textId="77777777" w:rsidR="00DB1E78" w:rsidRPr="00651BCF" w:rsidRDefault="00DB1E78" w:rsidP="00651BCF">
      <w:pPr>
        <w:wordWrap/>
        <w:spacing w:line="276" w:lineRule="auto"/>
        <w:rPr>
          <w:rFonts w:ascii="Arial" w:hAnsi="Arial"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B1E78" w:rsidRPr="00651BCF" w14:paraId="6E781B4C" w14:textId="77777777" w:rsidTr="00AE21DD">
        <w:trPr>
          <w:trHeight w:val="363"/>
        </w:trPr>
        <w:tc>
          <w:tcPr>
            <w:tcW w:w="2235" w:type="dxa"/>
            <w:tcBorders>
              <w:bottom w:val="double" w:sz="4" w:space="0" w:color="auto"/>
              <w:right w:val="double" w:sz="4" w:space="0" w:color="auto"/>
            </w:tcBorders>
            <w:shd w:val="clear" w:color="auto" w:fill="7F7F7F"/>
            <w:vAlign w:val="center"/>
          </w:tcPr>
          <w:p w14:paraId="49CF3FC7"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(Enhet: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2ECE8AB6"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Q4 FY 2020</w:t>
            </w:r>
          </w:p>
        </w:tc>
        <w:tc>
          <w:tcPr>
            <w:tcW w:w="2268" w:type="dxa"/>
            <w:tcBorders>
              <w:left w:val="double" w:sz="4" w:space="0" w:color="auto"/>
              <w:bottom w:val="double" w:sz="4" w:space="0" w:color="auto"/>
              <w:right w:val="double" w:sz="4" w:space="0" w:color="auto"/>
            </w:tcBorders>
            <w:shd w:val="clear" w:color="auto" w:fill="7F7F7F"/>
            <w:vAlign w:val="center"/>
          </w:tcPr>
          <w:p w14:paraId="44AC44A7"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Q3 FY 2021</w:t>
            </w:r>
          </w:p>
        </w:tc>
        <w:tc>
          <w:tcPr>
            <w:tcW w:w="2268" w:type="dxa"/>
            <w:tcBorders>
              <w:left w:val="double" w:sz="4" w:space="0" w:color="auto"/>
              <w:bottom w:val="double" w:sz="4" w:space="0" w:color="auto"/>
              <w:right w:val="nil"/>
            </w:tcBorders>
            <w:shd w:val="clear" w:color="auto" w:fill="7F7F7F"/>
            <w:vAlign w:val="center"/>
          </w:tcPr>
          <w:p w14:paraId="1FD2A106"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Q4 FY 2021</w:t>
            </w:r>
          </w:p>
        </w:tc>
      </w:tr>
      <w:tr w:rsidR="00DB1E78" w:rsidRPr="00651BCF" w14:paraId="6A2082BC" w14:textId="77777777" w:rsidTr="00AE21D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0BC34B0"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Försäljning</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F3E0401" w14:textId="77777777" w:rsidR="00DB1E78" w:rsidRPr="00651BCF" w:rsidRDefault="00DB1E78" w:rsidP="00651BCF">
            <w:pPr>
              <w:keepNext/>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1 580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292C5974" w14:textId="77777777" w:rsidR="00DB1E78" w:rsidRPr="00651BCF" w:rsidRDefault="00DB1E78" w:rsidP="00651BCF">
            <w:pPr>
              <w:keepNext/>
              <w:wordWrap/>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1 580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25708EBC" w14:textId="77777777" w:rsidR="00DB1E78" w:rsidRPr="00651BCF" w:rsidRDefault="00DB1E78" w:rsidP="00651BCF">
            <w:pPr>
              <w:keepNext/>
              <w:wordWrap/>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1 597</w:t>
            </w:r>
          </w:p>
        </w:tc>
      </w:tr>
      <w:tr w:rsidR="00DB1E78" w:rsidRPr="00651BCF" w14:paraId="10226FE8" w14:textId="77777777" w:rsidTr="00AE21DD">
        <w:trPr>
          <w:trHeight w:val="363"/>
        </w:trPr>
        <w:tc>
          <w:tcPr>
            <w:tcW w:w="2235" w:type="dxa"/>
            <w:tcBorders>
              <w:bottom w:val="single" w:sz="4" w:space="0" w:color="auto"/>
              <w:right w:val="double" w:sz="4" w:space="0" w:color="auto"/>
            </w:tcBorders>
            <w:shd w:val="clear" w:color="auto" w:fill="auto"/>
            <w:vAlign w:val="center"/>
          </w:tcPr>
          <w:p w14:paraId="7C44483A" w14:textId="77777777" w:rsidR="00DB1E78" w:rsidRPr="00651BCF" w:rsidRDefault="00DB1E78" w:rsidP="00651BCF">
            <w:pPr>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Rörelseresultat</w:t>
            </w:r>
          </w:p>
        </w:tc>
        <w:tc>
          <w:tcPr>
            <w:tcW w:w="2268" w:type="dxa"/>
            <w:tcBorders>
              <w:left w:val="double" w:sz="4" w:space="0" w:color="auto"/>
              <w:bottom w:val="single" w:sz="4" w:space="0" w:color="auto"/>
              <w:right w:val="double" w:sz="4" w:space="0" w:color="auto"/>
            </w:tcBorders>
            <w:shd w:val="clear" w:color="auto" w:fill="auto"/>
            <w:vAlign w:val="center"/>
          </w:tcPr>
          <w:p w14:paraId="6293C26B" w14:textId="77777777" w:rsidR="00DB1E78" w:rsidRPr="00651BCF" w:rsidRDefault="00DB1E78" w:rsidP="00651BCF">
            <w:pPr>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203</w:t>
            </w:r>
          </w:p>
        </w:tc>
        <w:tc>
          <w:tcPr>
            <w:tcW w:w="2268" w:type="dxa"/>
            <w:tcBorders>
              <w:left w:val="double" w:sz="4" w:space="0" w:color="auto"/>
              <w:bottom w:val="single" w:sz="4" w:space="0" w:color="auto"/>
              <w:right w:val="double" w:sz="4" w:space="0" w:color="auto"/>
            </w:tcBorders>
            <w:shd w:val="clear" w:color="auto" w:fill="auto"/>
            <w:vAlign w:val="center"/>
          </w:tcPr>
          <w:p w14:paraId="59966BB2" w14:textId="77777777" w:rsidR="00DB1E78" w:rsidRPr="00651BCF" w:rsidRDefault="00DB1E78" w:rsidP="00651BCF">
            <w:pPr>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156</w:t>
            </w:r>
          </w:p>
        </w:tc>
        <w:tc>
          <w:tcPr>
            <w:tcW w:w="2268" w:type="dxa"/>
            <w:tcBorders>
              <w:left w:val="double" w:sz="4" w:space="0" w:color="auto"/>
              <w:bottom w:val="single" w:sz="4" w:space="0" w:color="auto"/>
              <w:right w:val="nil"/>
            </w:tcBorders>
            <w:shd w:val="clear" w:color="auto" w:fill="FFFFFF"/>
            <w:vAlign w:val="center"/>
          </w:tcPr>
          <w:p w14:paraId="7AAE69EC" w14:textId="77777777" w:rsidR="00DB1E78" w:rsidRPr="00651BCF" w:rsidRDefault="00DB1E78" w:rsidP="00651BCF">
            <w:pPr>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74</w:t>
            </w:r>
          </w:p>
        </w:tc>
      </w:tr>
    </w:tbl>
    <w:p w14:paraId="142BE3C9" w14:textId="77777777" w:rsidR="00DB1E78" w:rsidRPr="00651BCF" w:rsidRDefault="00DB1E78" w:rsidP="00651BCF">
      <w:pPr>
        <w:wordWrap/>
        <w:spacing w:line="276" w:lineRule="auto"/>
        <w:rPr>
          <w:rFonts w:ascii="Hankook Regular" w:eastAsia="Hankook Regular" w:hAnsi="Hankook Regular"/>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B1E78" w:rsidRPr="00651BCF" w14:paraId="285DB732" w14:textId="77777777" w:rsidTr="00AE21DD">
        <w:trPr>
          <w:trHeight w:val="363"/>
        </w:trPr>
        <w:tc>
          <w:tcPr>
            <w:tcW w:w="2235" w:type="dxa"/>
            <w:tcBorders>
              <w:top w:val="nil"/>
              <w:bottom w:val="double" w:sz="4" w:space="0" w:color="auto"/>
              <w:right w:val="double" w:sz="4" w:space="0" w:color="auto"/>
            </w:tcBorders>
            <w:shd w:val="clear" w:color="auto" w:fill="7F7F7F"/>
            <w:vAlign w:val="center"/>
          </w:tcPr>
          <w:p w14:paraId="72CE5AF3"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(Enhet: miljoner euro)</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18420AC"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Q4 FY 2020</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4E6652F"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Q3 FY 2021</w:t>
            </w:r>
          </w:p>
        </w:tc>
        <w:tc>
          <w:tcPr>
            <w:tcW w:w="2268" w:type="dxa"/>
            <w:tcBorders>
              <w:top w:val="nil"/>
              <w:left w:val="double" w:sz="4" w:space="0" w:color="auto"/>
              <w:bottom w:val="double" w:sz="4" w:space="0" w:color="auto"/>
              <w:right w:val="nil"/>
            </w:tcBorders>
            <w:shd w:val="clear" w:color="auto" w:fill="7F7F7F"/>
            <w:vAlign w:val="center"/>
          </w:tcPr>
          <w:p w14:paraId="45C4C245"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Q4 FY 2021</w:t>
            </w:r>
          </w:p>
        </w:tc>
      </w:tr>
      <w:tr w:rsidR="00DB1E78" w:rsidRPr="00651BCF" w14:paraId="78C86A70" w14:textId="77777777" w:rsidTr="00AE21DD">
        <w:trPr>
          <w:trHeight w:val="363"/>
        </w:trPr>
        <w:tc>
          <w:tcPr>
            <w:tcW w:w="2235" w:type="dxa"/>
            <w:tcBorders>
              <w:top w:val="double" w:sz="4" w:space="0" w:color="auto"/>
              <w:right w:val="double" w:sz="4" w:space="0" w:color="auto"/>
            </w:tcBorders>
            <w:shd w:val="clear" w:color="auto" w:fill="auto"/>
            <w:vAlign w:val="center"/>
          </w:tcPr>
          <w:p w14:paraId="2E49C2BF"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Försäljning</w:t>
            </w:r>
          </w:p>
        </w:tc>
        <w:tc>
          <w:tcPr>
            <w:tcW w:w="2268" w:type="dxa"/>
            <w:tcBorders>
              <w:top w:val="double" w:sz="4" w:space="0" w:color="auto"/>
              <w:left w:val="double" w:sz="4" w:space="0" w:color="auto"/>
              <w:right w:val="double" w:sz="4" w:space="0" w:color="auto"/>
            </w:tcBorders>
            <w:shd w:val="clear" w:color="auto" w:fill="auto"/>
            <w:vAlign w:val="center"/>
          </w:tcPr>
          <w:p w14:paraId="5EC0DB19" w14:textId="77777777" w:rsidR="00DB1E78" w:rsidRPr="00651BCF" w:rsidRDefault="00DB1E78" w:rsidP="00651BCF">
            <w:pPr>
              <w:keepNext/>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1 325</w:t>
            </w:r>
          </w:p>
        </w:tc>
        <w:tc>
          <w:tcPr>
            <w:tcW w:w="2268" w:type="dxa"/>
            <w:tcBorders>
              <w:top w:val="double" w:sz="4" w:space="0" w:color="auto"/>
              <w:left w:val="double" w:sz="4" w:space="0" w:color="auto"/>
              <w:right w:val="double" w:sz="4" w:space="0" w:color="auto"/>
            </w:tcBorders>
            <w:shd w:val="clear" w:color="auto" w:fill="auto"/>
            <w:vAlign w:val="center"/>
          </w:tcPr>
          <w:p w14:paraId="27A23363" w14:textId="77777777" w:rsidR="00DB1E78" w:rsidRPr="00651BCF" w:rsidRDefault="00DB1E78" w:rsidP="00651BCF">
            <w:pPr>
              <w:keepNext/>
              <w:wordWrap/>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1 340</w:t>
            </w:r>
          </w:p>
        </w:tc>
        <w:tc>
          <w:tcPr>
            <w:tcW w:w="2268" w:type="dxa"/>
            <w:tcBorders>
              <w:top w:val="double" w:sz="4" w:space="0" w:color="auto"/>
              <w:left w:val="double" w:sz="4" w:space="0" w:color="auto"/>
              <w:right w:val="nil"/>
            </w:tcBorders>
            <w:shd w:val="clear" w:color="auto" w:fill="FFFFFF"/>
            <w:vAlign w:val="center"/>
          </w:tcPr>
          <w:p w14:paraId="149A269F" w14:textId="77777777" w:rsidR="00DB1E78" w:rsidRPr="00651BCF" w:rsidRDefault="00DB1E78" w:rsidP="00651BCF">
            <w:pPr>
              <w:keepNext/>
              <w:wordWrap/>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1 397</w:t>
            </w:r>
          </w:p>
        </w:tc>
      </w:tr>
      <w:tr w:rsidR="00DB1E78" w:rsidRPr="00651BCF" w14:paraId="4639F147" w14:textId="77777777" w:rsidTr="00AE21DD">
        <w:trPr>
          <w:trHeight w:val="363"/>
        </w:trPr>
        <w:tc>
          <w:tcPr>
            <w:tcW w:w="2235" w:type="dxa"/>
            <w:tcBorders>
              <w:right w:val="double" w:sz="4" w:space="0" w:color="auto"/>
            </w:tcBorders>
            <w:shd w:val="clear" w:color="auto" w:fill="auto"/>
            <w:vAlign w:val="center"/>
          </w:tcPr>
          <w:p w14:paraId="3BA8523C"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Rörelseresultat</w:t>
            </w:r>
          </w:p>
        </w:tc>
        <w:tc>
          <w:tcPr>
            <w:tcW w:w="2268" w:type="dxa"/>
            <w:tcBorders>
              <w:left w:val="double" w:sz="4" w:space="0" w:color="auto"/>
              <w:right w:val="double" w:sz="4" w:space="0" w:color="auto"/>
            </w:tcBorders>
            <w:shd w:val="clear" w:color="auto" w:fill="auto"/>
            <w:vAlign w:val="center"/>
          </w:tcPr>
          <w:p w14:paraId="436791E7" w14:textId="77777777" w:rsidR="00DB1E78" w:rsidRPr="00651BCF" w:rsidRDefault="00DB1E78" w:rsidP="00651BCF">
            <w:pPr>
              <w:keepNext/>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170</w:t>
            </w:r>
          </w:p>
        </w:tc>
        <w:tc>
          <w:tcPr>
            <w:tcW w:w="2268" w:type="dxa"/>
            <w:tcBorders>
              <w:left w:val="double" w:sz="4" w:space="0" w:color="auto"/>
              <w:right w:val="double" w:sz="4" w:space="0" w:color="auto"/>
            </w:tcBorders>
            <w:shd w:val="clear" w:color="auto" w:fill="auto"/>
            <w:vAlign w:val="center"/>
          </w:tcPr>
          <w:p w14:paraId="7755170B" w14:textId="77777777" w:rsidR="00DB1E78" w:rsidRPr="00651BCF" w:rsidRDefault="00DB1E78" w:rsidP="00651BCF">
            <w:pPr>
              <w:keepNext/>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132</w:t>
            </w:r>
          </w:p>
        </w:tc>
        <w:tc>
          <w:tcPr>
            <w:tcW w:w="2268" w:type="dxa"/>
            <w:tcBorders>
              <w:left w:val="double" w:sz="4" w:space="0" w:color="auto"/>
              <w:right w:val="nil"/>
            </w:tcBorders>
            <w:shd w:val="clear" w:color="auto" w:fill="FFFFFF"/>
            <w:vAlign w:val="center"/>
          </w:tcPr>
          <w:p w14:paraId="1661EFD1" w14:textId="77777777" w:rsidR="00DB1E78" w:rsidRPr="00651BCF" w:rsidRDefault="00DB1E78" w:rsidP="00651BCF">
            <w:pPr>
              <w:keepNext/>
              <w:widowControl/>
              <w:wordWrap/>
              <w:autoSpaceDE/>
              <w:autoSpaceDN/>
              <w:spacing w:line="276" w:lineRule="auto"/>
              <w:jc w:val="center"/>
              <w:rPr>
                <w:rFonts w:ascii="Hankook Regular" w:eastAsia="Hankook Regular" w:hAnsi="Hankook Regular"/>
                <w:b/>
                <w:sz w:val="19"/>
                <w:szCs w:val="19"/>
                <w:lang w:val="en-GB"/>
              </w:rPr>
            </w:pPr>
            <w:r w:rsidRPr="00651BCF">
              <w:rPr>
                <w:rFonts w:ascii="Hankook Regular" w:eastAsia="Hankook Regular" w:hAnsi="Hankook Regular" w:cs="Hankook Regular" w:hint="eastAsia"/>
                <w:b/>
                <w:sz w:val="19"/>
                <w:szCs w:val="19"/>
                <w:lang w:val="sv-SE" w:bidi="sv-SE"/>
              </w:rPr>
              <w:t>64</w:t>
            </w:r>
          </w:p>
        </w:tc>
      </w:tr>
    </w:tbl>
    <w:p w14:paraId="294943C0" w14:textId="6BD3B7F0" w:rsidR="00B13A4B" w:rsidRPr="00651BCF" w:rsidRDefault="00B13A4B" w:rsidP="00651BCF">
      <w:pPr>
        <w:keepNext/>
        <w:wordWrap/>
        <w:snapToGrid w:val="0"/>
        <w:spacing w:line="276" w:lineRule="auto"/>
        <w:ind w:leftChars="71" w:left="142" w:rightChars="56" w:right="112"/>
      </w:pPr>
      <w:r w:rsidRPr="00651BCF">
        <w:rPr>
          <w:rFonts w:ascii="Hankook Regular" w:eastAsia="Hankook Regular" w:hAnsi="Hankook Regular" w:cs="Arial"/>
          <w:b/>
          <w:i/>
          <w:kern w:val="0"/>
          <w:sz w:val="19"/>
          <w:szCs w:val="19"/>
          <w:lang w:val="sv-SE" w:bidi="sv-SE"/>
        </w:rPr>
        <w:t>*decimaltal beaktas inte i tabellen</w:t>
      </w:r>
    </w:p>
    <w:p w14:paraId="37EA0E28" w14:textId="29821D69" w:rsidR="00DB1E78" w:rsidRPr="00651BCF" w:rsidRDefault="00651BCF" w:rsidP="00651BCF">
      <w:pPr>
        <w:wordWrap/>
        <w:snapToGrid w:val="0"/>
        <w:spacing w:line="276" w:lineRule="auto"/>
        <w:ind w:leftChars="71" w:left="142" w:rightChars="56" w:right="112"/>
        <w:rPr>
          <w:rFonts w:ascii="Hankook Regular" w:eastAsia="Hankook Regular" w:hAnsi="Hankook Regular" w:cs="Arial"/>
          <w:b/>
          <w:i/>
          <w:kern w:val="0"/>
          <w:sz w:val="19"/>
          <w:szCs w:val="19"/>
          <w:lang w:val="sv-SE"/>
        </w:rPr>
      </w:pPr>
      <w:r>
        <w:rPr>
          <w:rFonts w:ascii="Hankook Regular" w:eastAsia="Hankook Regular" w:hAnsi="Hankook Regular" w:cs="Arial"/>
          <w:b/>
          <w:i/>
          <w:kern w:val="0"/>
          <w:sz w:val="19"/>
          <w:szCs w:val="19"/>
          <w:lang w:val="sv-SE" w:bidi="sv-SE"/>
        </w:rPr>
        <w:t>S</w:t>
      </w:r>
      <w:r w:rsidR="00B13A4B" w:rsidRPr="00651BCF">
        <w:rPr>
          <w:rFonts w:ascii="Hankook Regular" w:eastAsia="Hankook Regular" w:hAnsi="Hankook Regular" w:cs="Arial"/>
          <w:b/>
          <w:i/>
          <w:kern w:val="0"/>
          <w:sz w:val="19"/>
          <w:szCs w:val="19"/>
          <w:lang w:val="sv-SE" w:bidi="sv-SE"/>
        </w:rPr>
        <w:t>om referens:</w:t>
      </w:r>
      <w:r w:rsidR="00B13A4B" w:rsidRPr="00651BCF">
        <w:rPr>
          <w:lang w:val="sv-SE" w:bidi="sv-SE"/>
        </w:rPr>
        <w:t xml:space="preserve"> </w:t>
      </w:r>
      <w:hyperlink r:id="rId10" w:history="1">
        <w:r w:rsidR="00BC4DF6" w:rsidRPr="00651BCF">
          <w:rPr>
            <w:rStyle w:val="Hyperlink"/>
            <w:rFonts w:ascii="Hankook Regular" w:eastAsia="Hankook Regular" w:hAnsi="Hankook Regular" w:cs="Arial"/>
            <w:b/>
            <w:i/>
            <w:kern w:val="0"/>
            <w:sz w:val="19"/>
            <w:szCs w:val="19"/>
            <w:lang w:val="sv-SE" w:bidi="sv-SE"/>
          </w:rPr>
          <w:t>original koreanskt meddelande</w:t>
        </w:r>
      </w:hyperlink>
    </w:p>
    <w:p w14:paraId="3069E627" w14:textId="77777777" w:rsidR="007601DE" w:rsidRPr="00651BCF" w:rsidRDefault="007601DE" w:rsidP="00651BCF">
      <w:pPr>
        <w:wordWrap/>
        <w:snapToGrid w:val="0"/>
        <w:spacing w:line="276" w:lineRule="auto"/>
        <w:ind w:leftChars="71" w:left="142" w:rightChars="56" w:right="112"/>
        <w:rPr>
          <w:rFonts w:ascii="Hankook Regular" w:eastAsia="Hankook Regular" w:hAnsi="Hankook Regular" w:cs="Arial"/>
          <w:b/>
          <w:i/>
          <w:kern w:val="0"/>
          <w:sz w:val="19"/>
          <w:szCs w:val="19"/>
          <w:lang w:val="sv-SE"/>
        </w:rPr>
      </w:pPr>
    </w:p>
    <w:p w14:paraId="292DD472" w14:textId="77777777" w:rsidR="00DB1E78" w:rsidRPr="00651BCF" w:rsidRDefault="00DB1E78" w:rsidP="00651BCF">
      <w:pPr>
        <w:keepNext/>
        <w:wordWrap/>
        <w:snapToGrid w:val="0"/>
        <w:spacing w:line="276" w:lineRule="auto"/>
        <w:ind w:leftChars="71" w:left="142" w:rightChars="56" w:right="112"/>
        <w:rPr>
          <w:rFonts w:ascii="Hankook Regular" w:eastAsia="Hankook Regular" w:hAnsi="Hankook Regular" w:cs="Arial"/>
          <w:b/>
          <w:i/>
          <w:kern w:val="0"/>
          <w:sz w:val="19"/>
          <w:szCs w:val="19"/>
          <w:lang w:val="en-GB"/>
        </w:rPr>
      </w:pPr>
      <w:r w:rsidRPr="00651BCF">
        <w:rPr>
          <w:rFonts w:ascii="Hankook Regular" w:eastAsia="Hankook Regular" w:hAnsi="Hankook Regular" w:cs="Arial"/>
          <w:b/>
          <w:i/>
          <w:kern w:val="0"/>
          <w:sz w:val="19"/>
          <w:szCs w:val="19"/>
          <w:lang w:val="sv-SE" w:bidi="sv-SE"/>
        </w:rPr>
        <w:t>*Växlingskurs: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B1E78" w:rsidRPr="00651BCF" w14:paraId="014AF968" w14:textId="77777777" w:rsidTr="00AE21DD">
        <w:trPr>
          <w:trHeight w:val="363"/>
        </w:trPr>
        <w:tc>
          <w:tcPr>
            <w:tcW w:w="2235" w:type="dxa"/>
            <w:tcBorders>
              <w:bottom w:val="double" w:sz="4" w:space="0" w:color="auto"/>
              <w:right w:val="double" w:sz="4" w:space="0" w:color="auto"/>
            </w:tcBorders>
            <w:shd w:val="clear" w:color="auto" w:fill="7F7F7F"/>
            <w:vAlign w:val="center"/>
          </w:tcPr>
          <w:p w14:paraId="5E3BF0EE"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3C96BA4B"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Q4 FY 2020</w:t>
            </w:r>
          </w:p>
        </w:tc>
        <w:tc>
          <w:tcPr>
            <w:tcW w:w="2268" w:type="dxa"/>
            <w:tcBorders>
              <w:left w:val="double" w:sz="4" w:space="0" w:color="auto"/>
              <w:bottom w:val="double" w:sz="4" w:space="0" w:color="auto"/>
              <w:right w:val="double" w:sz="4" w:space="0" w:color="auto"/>
            </w:tcBorders>
            <w:shd w:val="clear" w:color="auto" w:fill="7F7F7F"/>
            <w:vAlign w:val="center"/>
          </w:tcPr>
          <w:p w14:paraId="7D75B54C"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Q3 FY 2021</w:t>
            </w:r>
          </w:p>
        </w:tc>
        <w:tc>
          <w:tcPr>
            <w:tcW w:w="2268" w:type="dxa"/>
            <w:tcBorders>
              <w:left w:val="double" w:sz="4" w:space="0" w:color="auto"/>
              <w:bottom w:val="double" w:sz="4" w:space="0" w:color="auto"/>
              <w:right w:val="nil"/>
            </w:tcBorders>
            <w:shd w:val="clear" w:color="auto" w:fill="7F7F7F"/>
            <w:vAlign w:val="center"/>
          </w:tcPr>
          <w:p w14:paraId="27B90D96"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Q4 FY 2021</w:t>
            </w:r>
          </w:p>
        </w:tc>
      </w:tr>
      <w:tr w:rsidR="00DB1E78" w:rsidRPr="00651BCF" w14:paraId="375D41DD" w14:textId="77777777" w:rsidTr="00AE21DD">
        <w:trPr>
          <w:trHeight w:val="363"/>
        </w:trPr>
        <w:tc>
          <w:tcPr>
            <w:tcW w:w="2235" w:type="dxa"/>
            <w:tcBorders>
              <w:top w:val="double" w:sz="4" w:space="0" w:color="auto"/>
              <w:right w:val="double" w:sz="4" w:space="0" w:color="auto"/>
            </w:tcBorders>
            <w:shd w:val="clear" w:color="auto" w:fill="auto"/>
            <w:vAlign w:val="center"/>
          </w:tcPr>
          <w:p w14:paraId="344EA9F4"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USD / KRW</w:t>
            </w:r>
          </w:p>
        </w:tc>
        <w:tc>
          <w:tcPr>
            <w:tcW w:w="2268" w:type="dxa"/>
            <w:tcBorders>
              <w:top w:val="double" w:sz="4" w:space="0" w:color="auto"/>
              <w:right w:val="double" w:sz="4" w:space="0" w:color="auto"/>
            </w:tcBorders>
            <w:shd w:val="clear" w:color="auto" w:fill="auto"/>
            <w:vAlign w:val="center"/>
          </w:tcPr>
          <w:p w14:paraId="48DABEB2" w14:textId="77777777" w:rsidR="00DB1E78" w:rsidRPr="00651BCF" w:rsidRDefault="00DB1E78" w:rsidP="00651BCF">
            <w:pPr>
              <w:keepNext/>
              <w:widowControl/>
              <w:wordWrap/>
              <w:autoSpaceDE/>
              <w:autoSpaceDN/>
              <w:spacing w:line="276" w:lineRule="auto"/>
              <w:jc w:val="center"/>
              <w:rPr>
                <w:rFonts w:ascii="Hankook Regular" w:eastAsiaTheme="minorEastAsia" w:hAnsi="Hankook Regular"/>
                <w:b/>
                <w:kern w:val="0"/>
                <w:sz w:val="19"/>
                <w:szCs w:val="19"/>
                <w:lang w:val="en-GB"/>
              </w:rPr>
            </w:pPr>
            <w:r w:rsidRPr="00651BCF">
              <w:rPr>
                <w:rFonts w:ascii="Hankook Regular" w:eastAsia="Hankook Regular" w:hAnsi="Hankook Regular" w:cs="Hankook Regular" w:hint="eastAsia"/>
                <w:b/>
                <w:sz w:val="19"/>
                <w:szCs w:val="19"/>
                <w:lang w:val="sv-SE" w:bidi="sv-SE"/>
              </w:rPr>
              <w:t>1 117,64</w:t>
            </w:r>
          </w:p>
        </w:tc>
        <w:tc>
          <w:tcPr>
            <w:tcW w:w="2268" w:type="dxa"/>
            <w:tcBorders>
              <w:top w:val="double" w:sz="4" w:space="0" w:color="auto"/>
              <w:left w:val="double" w:sz="4" w:space="0" w:color="auto"/>
              <w:right w:val="double" w:sz="4" w:space="0" w:color="auto"/>
            </w:tcBorders>
            <w:shd w:val="clear" w:color="auto" w:fill="auto"/>
            <w:vAlign w:val="center"/>
          </w:tcPr>
          <w:p w14:paraId="0AD29BD4" w14:textId="77777777" w:rsidR="00DB1E78" w:rsidRPr="00651BCF" w:rsidRDefault="00DB1E78" w:rsidP="00651BCF">
            <w:pPr>
              <w:keepNext/>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Theme="minorEastAsia" w:hAnsi="Hankook Regular" w:cs="Hankook Regular" w:hint="eastAsia"/>
                <w:b/>
                <w:sz w:val="19"/>
                <w:szCs w:val="19"/>
                <w:lang w:val="sv-SE" w:bidi="sv-SE"/>
              </w:rPr>
              <w:t>1 157,35</w:t>
            </w:r>
          </w:p>
        </w:tc>
        <w:tc>
          <w:tcPr>
            <w:tcW w:w="2268" w:type="dxa"/>
            <w:tcBorders>
              <w:top w:val="double" w:sz="4" w:space="0" w:color="auto"/>
              <w:left w:val="double" w:sz="4" w:space="0" w:color="auto"/>
              <w:right w:val="nil"/>
            </w:tcBorders>
            <w:shd w:val="clear" w:color="auto" w:fill="auto"/>
            <w:vAlign w:val="center"/>
          </w:tcPr>
          <w:p w14:paraId="4CB0D80D" w14:textId="77777777" w:rsidR="00DB1E78" w:rsidRPr="00651BCF" w:rsidRDefault="00DB1E78" w:rsidP="00651BCF">
            <w:pPr>
              <w:keepNext/>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Theme="minorEastAsia" w:hAnsi="Hankook Regular" w:cs="Hankook Regular" w:hint="eastAsia"/>
                <w:b/>
                <w:sz w:val="19"/>
                <w:szCs w:val="19"/>
                <w:lang w:val="sv-SE" w:bidi="sv-SE"/>
              </w:rPr>
              <w:t>1 183,17</w:t>
            </w:r>
          </w:p>
        </w:tc>
      </w:tr>
      <w:tr w:rsidR="00DB1E78" w:rsidRPr="00651BCF" w14:paraId="188CC5B0" w14:textId="77777777" w:rsidTr="00AE21DD">
        <w:trPr>
          <w:trHeight w:val="363"/>
        </w:trPr>
        <w:tc>
          <w:tcPr>
            <w:tcW w:w="2235" w:type="dxa"/>
            <w:tcBorders>
              <w:right w:val="double" w:sz="4" w:space="0" w:color="auto"/>
            </w:tcBorders>
            <w:shd w:val="clear" w:color="auto" w:fill="auto"/>
            <w:vAlign w:val="center"/>
          </w:tcPr>
          <w:p w14:paraId="0FB49EA5"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EUR / KRW</w:t>
            </w:r>
          </w:p>
        </w:tc>
        <w:tc>
          <w:tcPr>
            <w:tcW w:w="2268" w:type="dxa"/>
            <w:tcBorders>
              <w:right w:val="double" w:sz="4" w:space="0" w:color="auto"/>
            </w:tcBorders>
            <w:shd w:val="clear" w:color="auto" w:fill="auto"/>
            <w:vAlign w:val="center"/>
          </w:tcPr>
          <w:p w14:paraId="1F36CDE0" w14:textId="77777777" w:rsidR="00DB1E78" w:rsidRPr="00651BCF" w:rsidRDefault="00DB1E78" w:rsidP="00651BCF">
            <w:pPr>
              <w:keepNext/>
              <w:wordWrap/>
              <w:spacing w:line="276" w:lineRule="auto"/>
              <w:jc w:val="center"/>
              <w:rPr>
                <w:rFonts w:ascii="Hankook Regular" w:eastAsiaTheme="minorEastAsia" w:hAnsi="Hankook Regular"/>
                <w:b/>
                <w:sz w:val="19"/>
                <w:szCs w:val="19"/>
                <w:lang w:val="en-GB"/>
              </w:rPr>
            </w:pPr>
            <w:r w:rsidRPr="00651BCF">
              <w:rPr>
                <w:rFonts w:ascii="Hankook Regular" w:eastAsia="Hankook Regular" w:hAnsi="Hankook Regular" w:cs="Hankook Regular" w:hint="eastAsia"/>
                <w:b/>
                <w:sz w:val="19"/>
                <w:szCs w:val="19"/>
                <w:lang w:val="sv-SE" w:bidi="sv-SE"/>
              </w:rPr>
              <w:t>1 332,84</w:t>
            </w:r>
          </w:p>
        </w:tc>
        <w:tc>
          <w:tcPr>
            <w:tcW w:w="2268" w:type="dxa"/>
            <w:tcBorders>
              <w:left w:val="double" w:sz="4" w:space="0" w:color="auto"/>
              <w:right w:val="double" w:sz="4" w:space="0" w:color="auto"/>
            </w:tcBorders>
            <w:shd w:val="clear" w:color="auto" w:fill="auto"/>
            <w:vAlign w:val="center"/>
          </w:tcPr>
          <w:p w14:paraId="1484CB1E" w14:textId="77777777" w:rsidR="00DB1E78" w:rsidRPr="00651BCF" w:rsidRDefault="00DB1E78" w:rsidP="00651BCF">
            <w:pPr>
              <w:keepNext/>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Theme="minorEastAsia" w:hAnsi="Hankook Regular" w:cs="Hankook Regular" w:hint="eastAsia"/>
                <w:b/>
                <w:sz w:val="19"/>
                <w:szCs w:val="19"/>
                <w:lang w:val="sv-SE" w:bidi="sv-SE"/>
              </w:rPr>
              <w:t>1 364,9</w:t>
            </w:r>
          </w:p>
        </w:tc>
        <w:tc>
          <w:tcPr>
            <w:tcW w:w="2268" w:type="dxa"/>
            <w:tcBorders>
              <w:left w:val="double" w:sz="4" w:space="0" w:color="auto"/>
              <w:right w:val="nil"/>
            </w:tcBorders>
            <w:shd w:val="clear" w:color="auto" w:fill="auto"/>
            <w:vAlign w:val="center"/>
          </w:tcPr>
          <w:p w14:paraId="4570EEFA" w14:textId="77777777" w:rsidR="00DB1E78" w:rsidRPr="00651BCF" w:rsidRDefault="00DB1E78" w:rsidP="00651BCF">
            <w:pPr>
              <w:keepNext/>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Theme="minorEastAsia" w:hAnsi="Hankook Regular" w:cs="Hankook Regular" w:hint="eastAsia"/>
                <w:b/>
                <w:sz w:val="19"/>
                <w:szCs w:val="19"/>
                <w:lang w:val="sv-SE" w:bidi="sv-SE"/>
              </w:rPr>
              <w:t>1 352,51</w:t>
            </w:r>
          </w:p>
        </w:tc>
      </w:tr>
    </w:tbl>
    <w:p w14:paraId="6B88B4BF" w14:textId="06BB37F7" w:rsidR="00DB1E78" w:rsidRPr="00651BCF" w:rsidRDefault="00DB1E78" w:rsidP="00651BCF">
      <w:pPr>
        <w:wordWrap/>
        <w:spacing w:line="276" w:lineRule="auto"/>
        <w:rPr>
          <w:rFonts w:ascii="Hankook Regular" w:eastAsia="Hankook Regular" w:hAnsi="Hankook Regular" w:cs="Arial"/>
          <w:i/>
          <w:sz w:val="19"/>
          <w:szCs w:val="19"/>
          <w:lang w:val="sv-SE"/>
        </w:rPr>
      </w:pPr>
      <w:r w:rsidRPr="00651BCF">
        <w:rPr>
          <w:rFonts w:ascii="Hankook Regular" w:eastAsia="Hankook Regular" w:hAnsi="Hankook Regular" w:cs="Arial"/>
          <w:i/>
          <w:sz w:val="19"/>
          <w:szCs w:val="19"/>
          <w:lang w:val="sv-SE" w:bidi="sv-SE"/>
        </w:rPr>
        <w:t>(ANMÄRKNING: Genomsnittliga växelkurser för respektive årsperiod, hämtade från Korea Exchange Bank)</w:t>
      </w:r>
    </w:p>
    <w:p w14:paraId="768AEBFC" w14:textId="77777777" w:rsidR="00DB1E78" w:rsidRPr="00651BCF" w:rsidRDefault="00DB1E78" w:rsidP="00651BCF">
      <w:pPr>
        <w:wordWrap/>
        <w:spacing w:line="276" w:lineRule="auto"/>
        <w:contextualSpacing/>
        <w:rPr>
          <w:rFonts w:ascii="Hankook Regular" w:eastAsia="Hankook Regular" w:hAnsi="Hankook Regular" w:cs="Arial"/>
          <w:sz w:val="19"/>
          <w:szCs w:val="19"/>
          <w:lang w:val="sv-SE"/>
        </w:rPr>
      </w:pPr>
    </w:p>
    <w:p w14:paraId="4A8C1244" w14:textId="77777777" w:rsidR="00DB1E78" w:rsidRPr="00651BCF" w:rsidRDefault="00DB1E78" w:rsidP="00651BCF">
      <w:pPr>
        <w:keepNext/>
        <w:widowControl/>
        <w:wordWrap/>
        <w:autoSpaceDE/>
        <w:autoSpaceDN/>
        <w:spacing w:line="276" w:lineRule="auto"/>
        <w:jc w:val="left"/>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Koncernresultat 2021</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DB1E78" w:rsidRPr="00651BCF" w14:paraId="67D0E836" w14:textId="77777777" w:rsidTr="00AE21DD">
        <w:trPr>
          <w:trHeight w:val="342"/>
        </w:trPr>
        <w:tc>
          <w:tcPr>
            <w:tcW w:w="2259" w:type="dxa"/>
            <w:tcBorders>
              <w:bottom w:val="double" w:sz="4" w:space="0" w:color="auto"/>
              <w:right w:val="double" w:sz="4" w:space="0" w:color="auto"/>
            </w:tcBorders>
            <w:shd w:val="clear" w:color="auto" w:fill="7F7F7F"/>
            <w:vAlign w:val="center"/>
          </w:tcPr>
          <w:p w14:paraId="7AA58DF2"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(Enhet: miljarder KRW)</w:t>
            </w:r>
          </w:p>
        </w:tc>
        <w:tc>
          <w:tcPr>
            <w:tcW w:w="2260" w:type="dxa"/>
            <w:tcBorders>
              <w:bottom w:val="double" w:sz="4" w:space="0" w:color="auto"/>
              <w:right w:val="double" w:sz="4" w:space="0" w:color="auto"/>
            </w:tcBorders>
            <w:shd w:val="clear" w:color="auto" w:fill="7F7F7F"/>
            <w:vAlign w:val="center"/>
          </w:tcPr>
          <w:p w14:paraId="3C43758D"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FY 2020</w:t>
            </w:r>
          </w:p>
        </w:tc>
        <w:tc>
          <w:tcPr>
            <w:tcW w:w="2260" w:type="dxa"/>
            <w:tcBorders>
              <w:bottom w:val="double" w:sz="4" w:space="0" w:color="auto"/>
              <w:right w:val="double" w:sz="4" w:space="0" w:color="auto"/>
            </w:tcBorders>
            <w:shd w:val="clear" w:color="auto" w:fill="7F7F7F"/>
            <w:vAlign w:val="center"/>
          </w:tcPr>
          <w:p w14:paraId="030166C9"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FY 2021</w:t>
            </w:r>
          </w:p>
        </w:tc>
      </w:tr>
      <w:tr w:rsidR="00DB1E78" w:rsidRPr="00651BCF" w14:paraId="0CB652D3" w14:textId="77777777" w:rsidTr="00AE21DD">
        <w:trPr>
          <w:trHeight w:val="342"/>
        </w:trPr>
        <w:tc>
          <w:tcPr>
            <w:tcW w:w="2259" w:type="dxa"/>
            <w:tcBorders>
              <w:top w:val="double" w:sz="4" w:space="0" w:color="auto"/>
              <w:right w:val="double" w:sz="4" w:space="0" w:color="auto"/>
            </w:tcBorders>
            <w:shd w:val="clear" w:color="auto" w:fill="auto"/>
            <w:vAlign w:val="center"/>
          </w:tcPr>
          <w:p w14:paraId="54694C7D"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000000"/>
                <w:kern w:val="0"/>
                <w:sz w:val="19"/>
                <w:szCs w:val="19"/>
                <w:lang w:val="en-GB"/>
              </w:rPr>
            </w:pPr>
            <w:r w:rsidRPr="00651BCF">
              <w:rPr>
                <w:rFonts w:ascii="Hankook Regular" w:eastAsia="Hankook Regular" w:hAnsi="Hankook Regular" w:cs="Arial"/>
                <w:b/>
                <w:color w:val="000000"/>
                <w:kern w:val="0"/>
                <w:sz w:val="19"/>
                <w:szCs w:val="19"/>
                <w:lang w:val="sv-SE" w:bidi="sv-SE"/>
              </w:rPr>
              <w:t>Försäljning</w:t>
            </w:r>
          </w:p>
        </w:tc>
        <w:tc>
          <w:tcPr>
            <w:tcW w:w="2260" w:type="dxa"/>
            <w:tcBorders>
              <w:top w:val="double" w:sz="4" w:space="0" w:color="auto"/>
              <w:right w:val="double" w:sz="4" w:space="0" w:color="auto"/>
            </w:tcBorders>
            <w:shd w:val="clear" w:color="auto" w:fill="auto"/>
            <w:vAlign w:val="center"/>
          </w:tcPr>
          <w:p w14:paraId="66A84554" w14:textId="77777777" w:rsidR="00DB1E78" w:rsidRPr="00651BCF" w:rsidRDefault="00DB1E78" w:rsidP="00651BCF">
            <w:pPr>
              <w:keepNext/>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Hankook Regular" w:hAnsi="Hankook Regular" w:cs="Hankook Regular" w:hint="eastAsia"/>
                <w:b/>
                <w:color w:val="000000"/>
                <w:sz w:val="19"/>
                <w:szCs w:val="19"/>
                <w:lang w:val="sv-SE" w:bidi="sv-SE"/>
              </w:rPr>
              <w:t>6,453</w:t>
            </w:r>
          </w:p>
        </w:tc>
        <w:tc>
          <w:tcPr>
            <w:tcW w:w="2260" w:type="dxa"/>
            <w:tcBorders>
              <w:top w:val="double" w:sz="4" w:space="0" w:color="auto"/>
              <w:right w:val="double" w:sz="4" w:space="0" w:color="auto"/>
            </w:tcBorders>
            <w:shd w:val="clear" w:color="auto" w:fill="auto"/>
            <w:vAlign w:val="center"/>
          </w:tcPr>
          <w:p w14:paraId="60789343" w14:textId="77777777" w:rsidR="00DB1E78" w:rsidRPr="00651BCF" w:rsidRDefault="00DB1E78" w:rsidP="00651BCF">
            <w:pPr>
              <w:keepNext/>
              <w:wordWrap/>
              <w:spacing w:line="276" w:lineRule="auto"/>
              <w:jc w:val="center"/>
              <w:rPr>
                <w:rFonts w:ascii="Hankook Regular" w:eastAsiaTheme="minorEastAsia" w:hAnsi="Hankook Regular"/>
                <w:b/>
                <w:sz w:val="19"/>
                <w:szCs w:val="19"/>
                <w:lang w:val="en-GB"/>
              </w:rPr>
            </w:pPr>
            <w:r w:rsidRPr="00651BCF">
              <w:rPr>
                <w:rFonts w:ascii="Hankook Regular" w:eastAsia="Hankook Regular" w:hAnsi="Hankook Regular" w:cs="Hankook Regular" w:hint="eastAsia"/>
                <w:b/>
                <w:color w:val="000000"/>
                <w:sz w:val="19"/>
                <w:szCs w:val="19"/>
                <w:lang w:val="sv-SE" w:bidi="sv-SE"/>
              </w:rPr>
              <w:t>7,142</w:t>
            </w:r>
          </w:p>
        </w:tc>
      </w:tr>
      <w:tr w:rsidR="00DB1E78" w:rsidRPr="00651BCF" w14:paraId="4A3D00E4" w14:textId="77777777" w:rsidTr="00AE21DD">
        <w:trPr>
          <w:trHeight w:val="342"/>
        </w:trPr>
        <w:tc>
          <w:tcPr>
            <w:tcW w:w="2259" w:type="dxa"/>
            <w:tcBorders>
              <w:right w:val="double" w:sz="4" w:space="0" w:color="auto"/>
            </w:tcBorders>
            <w:shd w:val="clear" w:color="auto" w:fill="auto"/>
            <w:vAlign w:val="center"/>
          </w:tcPr>
          <w:p w14:paraId="49942831" w14:textId="77777777" w:rsidR="00DB1E78" w:rsidRPr="00651BCF" w:rsidRDefault="00DB1E78" w:rsidP="00651BCF">
            <w:pPr>
              <w:wordWrap/>
              <w:spacing w:line="276" w:lineRule="auto"/>
              <w:ind w:rightChars="56" w:right="112"/>
              <w:jc w:val="center"/>
              <w:rPr>
                <w:rFonts w:ascii="Hankook Regular" w:eastAsia="Hankook Regular" w:hAnsi="Hankook Regular" w:cs="Arial"/>
                <w:b/>
                <w:color w:val="000000"/>
                <w:kern w:val="0"/>
                <w:sz w:val="19"/>
                <w:szCs w:val="19"/>
                <w:lang w:val="en-GB"/>
              </w:rPr>
            </w:pPr>
            <w:r w:rsidRPr="00651BCF">
              <w:rPr>
                <w:rFonts w:ascii="Hankook Regular" w:eastAsia="Hankook Regular" w:hAnsi="Hankook Regular" w:cs="Arial"/>
                <w:b/>
                <w:color w:val="000000"/>
                <w:kern w:val="0"/>
                <w:sz w:val="19"/>
                <w:szCs w:val="19"/>
                <w:lang w:val="sv-SE" w:bidi="sv-SE"/>
              </w:rPr>
              <w:t>Rörelseresultat</w:t>
            </w:r>
          </w:p>
        </w:tc>
        <w:tc>
          <w:tcPr>
            <w:tcW w:w="2260" w:type="dxa"/>
            <w:tcBorders>
              <w:right w:val="double" w:sz="4" w:space="0" w:color="auto"/>
            </w:tcBorders>
            <w:shd w:val="clear" w:color="auto" w:fill="auto"/>
            <w:vAlign w:val="center"/>
          </w:tcPr>
          <w:p w14:paraId="53D6BAD6" w14:textId="77777777" w:rsidR="00DB1E78" w:rsidRPr="00651BCF" w:rsidRDefault="00DB1E78" w:rsidP="00651BCF">
            <w:pPr>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Hankook Regular" w:hAnsi="Hankook Regular" w:cs="Hankook Regular" w:hint="eastAsia"/>
                <w:b/>
                <w:color w:val="000000"/>
                <w:sz w:val="19"/>
                <w:szCs w:val="19"/>
                <w:lang w:val="sv-SE" w:bidi="sv-SE"/>
              </w:rPr>
              <w:t>628</w:t>
            </w:r>
          </w:p>
        </w:tc>
        <w:tc>
          <w:tcPr>
            <w:tcW w:w="2260" w:type="dxa"/>
            <w:tcBorders>
              <w:right w:val="double" w:sz="4" w:space="0" w:color="auto"/>
            </w:tcBorders>
            <w:shd w:val="clear" w:color="auto" w:fill="auto"/>
            <w:vAlign w:val="center"/>
          </w:tcPr>
          <w:p w14:paraId="6FCA982E" w14:textId="77777777" w:rsidR="00DB1E78" w:rsidRPr="00651BCF" w:rsidRDefault="00DB1E78" w:rsidP="00651BCF">
            <w:pPr>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Hankook Regular" w:hAnsi="Hankook Regular" w:cs="Hankook Regular" w:hint="eastAsia"/>
                <w:b/>
                <w:color w:val="000000"/>
                <w:sz w:val="19"/>
                <w:szCs w:val="19"/>
                <w:lang w:val="sv-SE" w:bidi="sv-SE"/>
              </w:rPr>
              <w:t>641</w:t>
            </w:r>
          </w:p>
        </w:tc>
      </w:tr>
    </w:tbl>
    <w:p w14:paraId="2157FF20" w14:textId="77777777" w:rsidR="00DB1E78" w:rsidRPr="00651BCF" w:rsidRDefault="00DB1E78" w:rsidP="00651BCF">
      <w:pPr>
        <w:wordWrap/>
        <w:spacing w:line="276" w:lineRule="auto"/>
        <w:rPr>
          <w:rFonts w:ascii="Arial" w:hAnsi="Arial"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B1E78" w:rsidRPr="00651BCF" w14:paraId="4B72AA26" w14:textId="77777777" w:rsidTr="00AE21DD">
        <w:trPr>
          <w:trHeight w:val="363"/>
        </w:trPr>
        <w:tc>
          <w:tcPr>
            <w:tcW w:w="2235" w:type="dxa"/>
            <w:tcBorders>
              <w:bottom w:val="double" w:sz="4" w:space="0" w:color="auto"/>
              <w:right w:val="double" w:sz="4" w:space="0" w:color="auto"/>
            </w:tcBorders>
            <w:shd w:val="clear" w:color="auto" w:fill="7F7F7F"/>
            <w:vAlign w:val="center"/>
          </w:tcPr>
          <w:p w14:paraId="47E32F5D"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(Enhet: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719CDA39"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FY 2020</w:t>
            </w:r>
          </w:p>
        </w:tc>
        <w:tc>
          <w:tcPr>
            <w:tcW w:w="2268" w:type="dxa"/>
            <w:tcBorders>
              <w:left w:val="double" w:sz="4" w:space="0" w:color="auto"/>
              <w:bottom w:val="double" w:sz="4" w:space="0" w:color="auto"/>
              <w:right w:val="double" w:sz="4" w:space="0" w:color="auto"/>
            </w:tcBorders>
            <w:shd w:val="clear" w:color="auto" w:fill="7F7F7F"/>
            <w:vAlign w:val="center"/>
          </w:tcPr>
          <w:p w14:paraId="296CBBF0"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FY 2021</w:t>
            </w:r>
          </w:p>
        </w:tc>
      </w:tr>
      <w:tr w:rsidR="00DB1E78" w:rsidRPr="00651BCF" w14:paraId="01303DAC" w14:textId="77777777" w:rsidTr="00AE21D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08F643FB"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Försäljning</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6A9AB54B" w14:textId="77777777" w:rsidR="00DB1E78" w:rsidRPr="00651BCF" w:rsidRDefault="00DB1E78" w:rsidP="00651BCF">
            <w:pPr>
              <w:keepNext/>
              <w:widowControl/>
              <w:wordWrap/>
              <w:autoSpaceDE/>
              <w:autoSpaceDN/>
              <w:spacing w:line="276" w:lineRule="auto"/>
              <w:jc w:val="center"/>
              <w:rPr>
                <w:rFonts w:ascii="Hankook Regular" w:eastAsia="Hankook Regular" w:hAnsi="Hankook Regular"/>
                <w:b/>
                <w:color w:val="000000"/>
                <w:sz w:val="19"/>
                <w:szCs w:val="19"/>
                <w:lang w:val="en-GB"/>
              </w:rPr>
            </w:pPr>
            <w:r w:rsidRPr="00651BCF">
              <w:rPr>
                <w:rFonts w:ascii="Hankook Regular" w:eastAsia="Hankook Regular" w:hAnsi="Hankook Regular" w:cs="Hankook Regular" w:hint="eastAsia"/>
                <w:b/>
                <w:color w:val="000000"/>
                <w:sz w:val="19"/>
                <w:szCs w:val="19"/>
                <w:lang w:val="sv-SE" w:bidi="sv-SE"/>
              </w:rPr>
              <w:t>5,468</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C29F887" w14:textId="77777777" w:rsidR="00DB1E78" w:rsidRPr="00651BCF" w:rsidRDefault="00DB1E78" w:rsidP="00651BCF">
            <w:pPr>
              <w:keepNext/>
              <w:wordWrap/>
              <w:spacing w:line="276" w:lineRule="auto"/>
              <w:jc w:val="center"/>
              <w:rPr>
                <w:rFonts w:ascii="Hankook Regular" w:eastAsia="Hankook Regular" w:hAnsi="Hankook Regular"/>
                <w:b/>
                <w:color w:val="000000"/>
                <w:sz w:val="19"/>
                <w:szCs w:val="19"/>
                <w:lang w:val="en-GB"/>
              </w:rPr>
            </w:pPr>
            <w:r w:rsidRPr="00651BCF">
              <w:rPr>
                <w:rFonts w:ascii="Hankook Regular" w:eastAsia="Hankook Regular" w:hAnsi="Hankook Regular" w:cs="Hankook Regular" w:hint="eastAsia"/>
                <w:b/>
                <w:color w:val="000000"/>
                <w:sz w:val="19"/>
                <w:szCs w:val="19"/>
                <w:lang w:val="sv-SE" w:bidi="sv-SE"/>
              </w:rPr>
              <w:t>6 240</w:t>
            </w:r>
          </w:p>
        </w:tc>
      </w:tr>
      <w:tr w:rsidR="00DB1E78" w:rsidRPr="00651BCF" w14:paraId="066D8FFA" w14:textId="77777777" w:rsidTr="00AE21DD">
        <w:trPr>
          <w:trHeight w:val="363"/>
        </w:trPr>
        <w:tc>
          <w:tcPr>
            <w:tcW w:w="2235" w:type="dxa"/>
            <w:tcBorders>
              <w:right w:val="double" w:sz="4" w:space="0" w:color="auto"/>
            </w:tcBorders>
            <w:shd w:val="clear" w:color="auto" w:fill="auto"/>
            <w:vAlign w:val="center"/>
          </w:tcPr>
          <w:p w14:paraId="32BA8ECE" w14:textId="77777777" w:rsidR="00DB1E78" w:rsidRPr="00651BCF" w:rsidRDefault="00DB1E78" w:rsidP="00651BCF">
            <w:pPr>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Rörelseresultat</w:t>
            </w:r>
          </w:p>
        </w:tc>
        <w:tc>
          <w:tcPr>
            <w:tcW w:w="2268" w:type="dxa"/>
            <w:tcBorders>
              <w:left w:val="double" w:sz="4" w:space="0" w:color="auto"/>
              <w:right w:val="double" w:sz="4" w:space="0" w:color="auto"/>
            </w:tcBorders>
            <w:shd w:val="clear" w:color="auto" w:fill="auto"/>
            <w:vAlign w:val="center"/>
          </w:tcPr>
          <w:p w14:paraId="3A054BD4" w14:textId="77777777" w:rsidR="00DB1E78" w:rsidRPr="00651BCF" w:rsidRDefault="00DB1E78" w:rsidP="00651BCF">
            <w:pPr>
              <w:widowControl/>
              <w:wordWrap/>
              <w:autoSpaceDE/>
              <w:autoSpaceDN/>
              <w:spacing w:line="276" w:lineRule="auto"/>
              <w:jc w:val="center"/>
              <w:rPr>
                <w:rFonts w:ascii="Hankook Regular" w:eastAsia="Hankook Regular" w:hAnsi="Hankook Regular"/>
                <w:b/>
                <w:color w:val="000000"/>
                <w:sz w:val="19"/>
                <w:szCs w:val="19"/>
                <w:lang w:val="en-GB"/>
              </w:rPr>
            </w:pPr>
            <w:r w:rsidRPr="00651BCF">
              <w:rPr>
                <w:rFonts w:ascii="Hankook Regular" w:eastAsia="Hankook Regular" w:hAnsi="Hankook Regular" w:cs="Hankook Regular" w:hint="eastAsia"/>
                <w:b/>
                <w:color w:val="000000"/>
                <w:sz w:val="19"/>
                <w:szCs w:val="19"/>
                <w:lang w:val="sv-SE" w:bidi="sv-SE"/>
              </w:rPr>
              <w:t>532</w:t>
            </w:r>
          </w:p>
        </w:tc>
        <w:tc>
          <w:tcPr>
            <w:tcW w:w="2268" w:type="dxa"/>
            <w:tcBorders>
              <w:left w:val="double" w:sz="4" w:space="0" w:color="auto"/>
              <w:right w:val="double" w:sz="4" w:space="0" w:color="auto"/>
            </w:tcBorders>
            <w:shd w:val="clear" w:color="auto" w:fill="auto"/>
            <w:vAlign w:val="center"/>
          </w:tcPr>
          <w:p w14:paraId="783AE4EF" w14:textId="77777777" w:rsidR="00DB1E78" w:rsidRPr="00651BCF" w:rsidRDefault="00DB1E78" w:rsidP="00651BCF">
            <w:pPr>
              <w:widowControl/>
              <w:wordWrap/>
              <w:autoSpaceDE/>
              <w:autoSpaceDN/>
              <w:spacing w:line="276" w:lineRule="auto"/>
              <w:jc w:val="center"/>
              <w:rPr>
                <w:rFonts w:ascii="Hankook Regular" w:eastAsia="Hankook Regular" w:hAnsi="Hankook Regular"/>
                <w:b/>
                <w:color w:val="000000"/>
                <w:sz w:val="19"/>
                <w:szCs w:val="19"/>
                <w:lang w:val="en-GB"/>
              </w:rPr>
            </w:pPr>
            <w:r w:rsidRPr="00651BCF">
              <w:rPr>
                <w:rFonts w:ascii="Hankook Regular" w:eastAsia="Hankook Regular" w:hAnsi="Hankook Regular" w:cs="Hankook Regular" w:hint="eastAsia"/>
                <w:b/>
                <w:color w:val="000000"/>
                <w:sz w:val="19"/>
                <w:szCs w:val="19"/>
                <w:lang w:val="sv-SE" w:bidi="sv-SE"/>
              </w:rPr>
              <w:t>560</w:t>
            </w:r>
          </w:p>
        </w:tc>
      </w:tr>
    </w:tbl>
    <w:p w14:paraId="343913B5" w14:textId="77777777" w:rsidR="00DB1E78" w:rsidRPr="00651BCF" w:rsidRDefault="00DB1E78" w:rsidP="00651BCF">
      <w:pPr>
        <w:wordWrap/>
        <w:spacing w:line="276" w:lineRule="auto"/>
        <w:rPr>
          <w:rFonts w:ascii="Hankook Regular" w:eastAsia="Hankook Regular" w:hAnsi="Hankook Regular"/>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B1E78" w:rsidRPr="00651BCF" w14:paraId="5CD31E83" w14:textId="77777777" w:rsidTr="00AE21DD">
        <w:trPr>
          <w:trHeight w:val="363"/>
        </w:trPr>
        <w:tc>
          <w:tcPr>
            <w:tcW w:w="2235" w:type="dxa"/>
            <w:tcBorders>
              <w:top w:val="nil"/>
              <w:bottom w:val="double" w:sz="4" w:space="0" w:color="auto"/>
              <w:right w:val="double" w:sz="4" w:space="0" w:color="auto"/>
            </w:tcBorders>
            <w:shd w:val="clear" w:color="auto" w:fill="7F7F7F"/>
            <w:vAlign w:val="center"/>
          </w:tcPr>
          <w:p w14:paraId="0CB5CED7"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(Enhet: miljoner euro)</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5CCB78B"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FY 2020</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9AA1422"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FY 2021</w:t>
            </w:r>
          </w:p>
        </w:tc>
      </w:tr>
      <w:tr w:rsidR="00DB1E78" w:rsidRPr="00651BCF" w14:paraId="2BA76B1A" w14:textId="77777777" w:rsidTr="00AE21DD">
        <w:trPr>
          <w:trHeight w:val="363"/>
        </w:trPr>
        <w:tc>
          <w:tcPr>
            <w:tcW w:w="2235" w:type="dxa"/>
            <w:tcBorders>
              <w:top w:val="double" w:sz="4" w:space="0" w:color="auto"/>
              <w:right w:val="double" w:sz="4" w:space="0" w:color="auto"/>
            </w:tcBorders>
            <w:shd w:val="clear" w:color="auto" w:fill="auto"/>
            <w:vAlign w:val="center"/>
          </w:tcPr>
          <w:p w14:paraId="2A467057"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Försäljning</w:t>
            </w:r>
          </w:p>
        </w:tc>
        <w:tc>
          <w:tcPr>
            <w:tcW w:w="2268" w:type="dxa"/>
            <w:tcBorders>
              <w:top w:val="double" w:sz="4" w:space="0" w:color="auto"/>
              <w:left w:val="double" w:sz="4" w:space="0" w:color="auto"/>
              <w:right w:val="double" w:sz="4" w:space="0" w:color="auto"/>
            </w:tcBorders>
            <w:shd w:val="clear" w:color="auto" w:fill="auto"/>
            <w:vAlign w:val="center"/>
          </w:tcPr>
          <w:p w14:paraId="6B5090E5" w14:textId="77777777" w:rsidR="00DB1E78" w:rsidRPr="00651BCF" w:rsidRDefault="00DB1E78" w:rsidP="00651BCF">
            <w:pPr>
              <w:keepNext/>
              <w:widowControl/>
              <w:wordWrap/>
              <w:autoSpaceDE/>
              <w:autoSpaceDN/>
              <w:spacing w:line="276" w:lineRule="auto"/>
              <w:jc w:val="center"/>
              <w:rPr>
                <w:rFonts w:ascii="Hankook Regular" w:eastAsia="Hankook Regular" w:hAnsi="Hankook Regular"/>
                <w:b/>
                <w:color w:val="000000"/>
                <w:sz w:val="19"/>
                <w:szCs w:val="19"/>
                <w:lang w:val="en-GB"/>
              </w:rPr>
            </w:pPr>
            <w:r w:rsidRPr="00651BCF">
              <w:rPr>
                <w:rFonts w:ascii="Hankook Regular" w:eastAsia="Hankook Regular" w:hAnsi="Hankook Regular" w:cs="Hankook Regular" w:hint="eastAsia"/>
                <w:b/>
                <w:color w:val="000000"/>
                <w:sz w:val="19"/>
                <w:szCs w:val="19"/>
                <w:lang w:val="sv-SE" w:bidi="sv-SE"/>
              </w:rPr>
              <w:t>4,794</w:t>
            </w:r>
          </w:p>
        </w:tc>
        <w:tc>
          <w:tcPr>
            <w:tcW w:w="2268" w:type="dxa"/>
            <w:tcBorders>
              <w:top w:val="double" w:sz="4" w:space="0" w:color="auto"/>
              <w:left w:val="double" w:sz="4" w:space="0" w:color="auto"/>
              <w:right w:val="double" w:sz="4" w:space="0" w:color="auto"/>
            </w:tcBorders>
            <w:shd w:val="clear" w:color="auto" w:fill="auto"/>
            <w:vAlign w:val="center"/>
          </w:tcPr>
          <w:p w14:paraId="0CD3927D" w14:textId="77777777" w:rsidR="00DB1E78" w:rsidRPr="00651BCF" w:rsidRDefault="00DB1E78" w:rsidP="00651BCF">
            <w:pPr>
              <w:keepNext/>
              <w:wordWrap/>
              <w:spacing w:line="276" w:lineRule="auto"/>
              <w:jc w:val="center"/>
              <w:rPr>
                <w:rFonts w:ascii="Hankook Regular" w:eastAsia="Hankook Regular" w:hAnsi="Hankook Regular"/>
                <w:b/>
                <w:color w:val="000000"/>
                <w:sz w:val="19"/>
                <w:szCs w:val="19"/>
                <w:lang w:val="en-GB"/>
              </w:rPr>
            </w:pPr>
            <w:r w:rsidRPr="00651BCF">
              <w:rPr>
                <w:rFonts w:ascii="Hankook Regular" w:eastAsia="Hankook Regular" w:hAnsi="Hankook Regular" w:cs="Hankook Regular" w:hint="eastAsia"/>
                <w:b/>
                <w:color w:val="000000"/>
                <w:sz w:val="19"/>
                <w:szCs w:val="19"/>
                <w:lang w:val="sv-SE" w:bidi="sv-SE"/>
              </w:rPr>
              <w:t>5,279</w:t>
            </w:r>
          </w:p>
        </w:tc>
      </w:tr>
      <w:tr w:rsidR="00DB1E78" w:rsidRPr="00651BCF" w14:paraId="37F68921" w14:textId="77777777" w:rsidTr="00AE21DD">
        <w:trPr>
          <w:trHeight w:val="363"/>
        </w:trPr>
        <w:tc>
          <w:tcPr>
            <w:tcW w:w="2235" w:type="dxa"/>
            <w:tcBorders>
              <w:right w:val="double" w:sz="4" w:space="0" w:color="auto"/>
            </w:tcBorders>
            <w:shd w:val="clear" w:color="auto" w:fill="auto"/>
            <w:vAlign w:val="center"/>
          </w:tcPr>
          <w:p w14:paraId="50C485EF" w14:textId="77777777" w:rsidR="00DB1E78" w:rsidRPr="00651BCF" w:rsidRDefault="00DB1E78" w:rsidP="00651BCF">
            <w:pPr>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Rörelseresultat</w:t>
            </w:r>
          </w:p>
        </w:tc>
        <w:tc>
          <w:tcPr>
            <w:tcW w:w="2268" w:type="dxa"/>
            <w:tcBorders>
              <w:left w:val="double" w:sz="4" w:space="0" w:color="auto"/>
              <w:right w:val="double" w:sz="4" w:space="0" w:color="auto"/>
            </w:tcBorders>
            <w:shd w:val="clear" w:color="auto" w:fill="auto"/>
            <w:vAlign w:val="center"/>
          </w:tcPr>
          <w:p w14:paraId="1E52F23A" w14:textId="77777777" w:rsidR="00DB1E78" w:rsidRPr="00651BCF" w:rsidRDefault="00DB1E78" w:rsidP="00651BCF">
            <w:pPr>
              <w:widowControl/>
              <w:wordWrap/>
              <w:autoSpaceDE/>
              <w:autoSpaceDN/>
              <w:spacing w:line="276" w:lineRule="auto"/>
              <w:jc w:val="center"/>
              <w:rPr>
                <w:rFonts w:ascii="Hankook Regular" w:eastAsia="Hankook Regular" w:hAnsi="Hankook Regular"/>
                <w:b/>
                <w:color w:val="000000"/>
                <w:sz w:val="19"/>
                <w:szCs w:val="19"/>
                <w:lang w:val="en-GB"/>
              </w:rPr>
            </w:pPr>
            <w:r w:rsidRPr="00651BCF">
              <w:rPr>
                <w:rFonts w:ascii="Hankook Regular" w:eastAsia="Hankook Regular" w:hAnsi="Hankook Regular" w:cs="Hankook Regular" w:hint="eastAsia"/>
                <w:b/>
                <w:color w:val="000000"/>
                <w:sz w:val="19"/>
                <w:szCs w:val="19"/>
                <w:lang w:val="sv-SE" w:bidi="sv-SE"/>
              </w:rPr>
              <w:t>466</w:t>
            </w:r>
          </w:p>
        </w:tc>
        <w:tc>
          <w:tcPr>
            <w:tcW w:w="2268" w:type="dxa"/>
            <w:tcBorders>
              <w:left w:val="double" w:sz="4" w:space="0" w:color="auto"/>
              <w:right w:val="double" w:sz="4" w:space="0" w:color="auto"/>
            </w:tcBorders>
            <w:shd w:val="clear" w:color="auto" w:fill="auto"/>
            <w:vAlign w:val="center"/>
          </w:tcPr>
          <w:p w14:paraId="6F234AB9" w14:textId="77777777" w:rsidR="00DB1E78" w:rsidRPr="00651BCF" w:rsidRDefault="00DB1E78" w:rsidP="00651BCF">
            <w:pPr>
              <w:widowControl/>
              <w:wordWrap/>
              <w:autoSpaceDE/>
              <w:autoSpaceDN/>
              <w:spacing w:line="276" w:lineRule="auto"/>
              <w:jc w:val="center"/>
              <w:rPr>
                <w:rFonts w:ascii="Hankook Regular" w:eastAsia="Hankook Regular" w:hAnsi="Hankook Regular"/>
                <w:b/>
                <w:color w:val="000000"/>
                <w:sz w:val="19"/>
                <w:szCs w:val="19"/>
                <w:lang w:val="en-GB"/>
              </w:rPr>
            </w:pPr>
            <w:r w:rsidRPr="00651BCF">
              <w:rPr>
                <w:rFonts w:ascii="Hankook Regular" w:eastAsia="Hankook Regular" w:hAnsi="Hankook Regular" w:cs="Hankook Regular" w:hint="eastAsia"/>
                <w:b/>
                <w:color w:val="000000"/>
                <w:sz w:val="19"/>
                <w:szCs w:val="19"/>
                <w:lang w:val="sv-SE" w:bidi="sv-SE"/>
              </w:rPr>
              <w:t>474</w:t>
            </w:r>
          </w:p>
        </w:tc>
      </w:tr>
    </w:tbl>
    <w:p w14:paraId="07F77C73" w14:textId="77777777" w:rsidR="00DB1E78" w:rsidRPr="00651BCF" w:rsidRDefault="00DB1E78" w:rsidP="00651BCF">
      <w:pPr>
        <w:widowControl/>
        <w:wordWrap/>
        <w:autoSpaceDE/>
        <w:autoSpaceDN/>
        <w:spacing w:line="276" w:lineRule="auto"/>
        <w:jc w:val="left"/>
        <w:rPr>
          <w:rFonts w:ascii="Hankook Regular" w:eastAsia="Hankook Regular" w:hAnsi="Hankook Regular" w:cs="Arial"/>
          <w:b/>
          <w:i/>
          <w:kern w:val="0"/>
          <w:sz w:val="19"/>
          <w:szCs w:val="19"/>
          <w:lang w:val="en-GB"/>
        </w:rPr>
      </w:pPr>
    </w:p>
    <w:p w14:paraId="3C6E09DD" w14:textId="77777777" w:rsidR="00DB1E78" w:rsidRPr="00651BCF" w:rsidRDefault="00DB1E78" w:rsidP="00651BCF">
      <w:pPr>
        <w:keepNext/>
        <w:wordWrap/>
        <w:snapToGrid w:val="0"/>
        <w:spacing w:line="276" w:lineRule="auto"/>
        <w:ind w:leftChars="71" w:left="142" w:rightChars="56" w:right="112"/>
        <w:rPr>
          <w:rFonts w:ascii="Hankook Regular" w:eastAsia="Hankook Regular" w:hAnsi="Hankook Regular" w:cs="Arial"/>
          <w:b/>
          <w:i/>
          <w:kern w:val="0"/>
          <w:sz w:val="19"/>
          <w:szCs w:val="19"/>
          <w:lang w:val="en-GB"/>
        </w:rPr>
      </w:pPr>
      <w:r w:rsidRPr="00651BCF">
        <w:rPr>
          <w:rFonts w:ascii="Hankook Regular" w:eastAsia="Hankook Regular" w:hAnsi="Hankook Regular" w:cs="Arial"/>
          <w:b/>
          <w:i/>
          <w:kern w:val="0"/>
          <w:sz w:val="19"/>
          <w:szCs w:val="19"/>
          <w:lang w:val="sv-SE" w:bidi="sv-SE"/>
        </w:rPr>
        <w:t>*Växlingskurs:</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B1E78" w:rsidRPr="00651BCF" w14:paraId="6359A2B7" w14:textId="77777777" w:rsidTr="00AE21DD">
        <w:trPr>
          <w:trHeight w:val="363"/>
        </w:trPr>
        <w:tc>
          <w:tcPr>
            <w:tcW w:w="2235" w:type="dxa"/>
            <w:tcBorders>
              <w:bottom w:val="double" w:sz="4" w:space="0" w:color="auto"/>
              <w:right w:val="double" w:sz="4" w:space="0" w:color="auto"/>
            </w:tcBorders>
            <w:shd w:val="clear" w:color="auto" w:fill="7F7F7F"/>
            <w:vAlign w:val="center"/>
          </w:tcPr>
          <w:p w14:paraId="647D4511"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34CF7897"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FY 2020</w:t>
            </w:r>
          </w:p>
        </w:tc>
        <w:tc>
          <w:tcPr>
            <w:tcW w:w="2268" w:type="dxa"/>
            <w:tcBorders>
              <w:left w:val="double" w:sz="4" w:space="0" w:color="auto"/>
              <w:bottom w:val="double" w:sz="4" w:space="0" w:color="auto"/>
              <w:right w:val="double" w:sz="4" w:space="0" w:color="auto"/>
            </w:tcBorders>
            <w:shd w:val="clear" w:color="auto" w:fill="7F7F7F"/>
            <w:vAlign w:val="center"/>
          </w:tcPr>
          <w:p w14:paraId="16520369"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color w:val="FFFFFF"/>
                <w:kern w:val="0"/>
                <w:sz w:val="19"/>
                <w:szCs w:val="19"/>
                <w:lang w:val="en-GB"/>
              </w:rPr>
            </w:pPr>
            <w:r w:rsidRPr="00651BCF">
              <w:rPr>
                <w:rFonts w:ascii="Hankook Regular" w:eastAsia="Hankook Regular" w:hAnsi="Hankook Regular" w:cs="Arial"/>
                <w:b/>
                <w:color w:val="FFFFFF"/>
                <w:kern w:val="0"/>
                <w:sz w:val="19"/>
                <w:szCs w:val="19"/>
                <w:lang w:val="sv-SE" w:bidi="sv-SE"/>
              </w:rPr>
              <w:t>FY 2021</w:t>
            </w:r>
          </w:p>
        </w:tc>
      </w:tr>
      <w:tr w:rsidR="00DB1E78" w:rsidRPr="00651BCF" w14:paraId="0290B661" w14:textId="77777777" w:rsidTr="00AE21DD">
        <w:trPr>
          <w:trHeight w:val="363"/>
        </w:trPr>
        <w:tc>
          <w:tcPr>
            <w:tcW w:w="2235" w:type="dxa"/>
            <w:tcBorders>
              <w:top w:val="double" w:sz="4" w:space="0" w:color="auto"/>
              <w:right w:val="double" w:sz="4" w:space="0" w:color="auto"/>
            </w:tcBorders>
            <w:shd w:val="clear" w:color="auto" w:fill="auto"/>
            <w:vAlign w:val="center"/>
          </w:tcPr>
          <w:p w14:paraId="00C442F1"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USD / KRW</w:t>
            </w:r>
          </w:p>
        </w:tc>
        <w:tc>
          <w:tcPr>
            <w:tcW w:w="2268" w:type="dxa"/>
            <w:tcBorders>
              <w:top w:val="double" w:sz="4" w:space="0" w:color="auto"/>
              <w:right w:val="double" w:sz="4" w:space="0" w:color="auto"/>
            </w:tcBorders>
            <w:shd w:val="clear" w:color="auto" w:fill="auto"/>
            <w:vAlign w:val="center"/>
          </w:tcPr>
          <w:p w14:paraId="0448BFB7" w14:textId="77777777" w:rsidR="00DB1E78" w:rsidRPr="00651BCF" w:rsidRDefault="00DB1E78" w:rsidP="00651BCF">
            <w:pPr>
              <w:keepNext/>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Theme="minorEastAsia" w:hAnsi="Hankook Regular" w:cs="Hankook Regular" w:hint="eastAsia"/>
                <w:b/>
                <w:sz w:val="19"/>
                <w:szCs w:val="19"/>
                <w:lang w:val="sv-SE" w:bidi="sv-SE"/>
              </w:rPr>
              <w:t>1 180,05</w:t>
            </w:r>
          </w:p>
        </w:tc>
        <w:tc>
          <w:tcPr>
            <w:tcW w:w="2268" w:type="dxa"/>
            <w:tcBorders>
              <w:top w:val="double" w:sz="4" w:space="0" w:color="auto"/>
              <w:left w:val="double" w:sz="4" w:space="0" w:color="auto"/>
              <w:right w:val="double" w:sz="4" w:space="0" w:color="auto"/>
            </w:tcBorders>
            <w:shd w:val="clear" w:color="auto" w:fill="auto"/>
            <w:vAlign w:val="center"/>
          </w:tcPr>
          <w:p w14:paraId="75EF90BE" w14:textId="77777777" w:rsidR="00DB1E78" w:rsidRPr="00651BCF" w:rsidRDefault="00DB1E78" w:rsidP="00651BCF">
            <w:pPr>
              <w:keepNext/>
              <w:wordWrap/>
              <w:spacing w:line="276" w:lineRule="auto"/>
              <w:jc w:val="center"/>
              <w:rPr>
                <w:rFonts w:ascii="Hankook Regular" w:eastAsiaTheme="minorEastAsia" w:hAnsi="Hankook Regular"/>
                <w:b/>
                <w:sz w:val="19"/>
                <w:szCs w:val="19"/>
                <w:lang w:val="en-GB"/>
              </w:rPr>
            </w:pPr>
            <w:r w:rsidRPr="00651BCF">
              <w:rPr>
                <w:rFonts w:ascii="Hankook Regular" w:eastAsiaTheme="minorEastAsia" w:hAnsi="Hankook Regular" w:cs="Hankook Regular" w:hint="eastAsia"/>
                <w:b/>
                <w:sz w:val="19"/>
                <w:szCs w:val="19"/>
                <w:lang w:val="sv-SE" w:bidi="sv-SE"/>
              </w:rPr>
              <w:t>1 144,42</w:t>
            </w:r>
          </w:p>
        </w:tc>
      </w:tr>
      <w:tr w:rsidR="00DB1E78" w:rsidRPr="00651BCF" w14:paraId="06CB3FAD" w14:textId="77777777" w:rsidTr="00AE21DD">
        <w:trPr>
          <w:trHeight w:val="363"/>
        </w:trPr>
        <w:tc>
          <w:tcPr>
            <w:tcW w:w="2235" w:type="dxa"/>
            <w:tcBorders>
              <w:right w:val="double" w:sz="4" w:space="0" w:color="auto"/>
            </w:tcBorders>
            <w:shd w:val="clear" w:color="auto" w:fill="auto"/>
            <w:vAlign w:val="center"/>
          </w:tcPr>
          <w:p w14:paraId="04B16A4E" w14:textId="77777777" w:rsidR="00DB1E78" w:rsidRPr="00651BCF" w:rsidRDefault="00DB1E78" w:rsidP="00651BCF">
            <w:pPr>
              <w:keepNext/>
              <w:wordWrap/>
              <w:spacing w:line="276" w:lineRule="auto"/>
              <w:ind w:rightChars="56" w:right="112"/>
              <w:jc w:val="center"/>
              <w:rPr>
                <w:rFonts w:ascii="Hankook Regular" w:eastAsia="Hankook Regular" w:hAnsi="Hankook Regular" w:cs="Arial"/>
                <w:b/>
                <w:kern w:val="0"/>
                <w:sz w:val="19"/>
                <w:szCs w:val="19"/>
                <w:lang w:val="en-GB"/>
              </w:rPr>
            </w:pPr>
            <w:r w:rsidRPr="00651BCF">
              <w:rPr>
                <w:rFonts w:ascii="Hankook Regular" w:eastAsia="Hankook Regular" w:hAnsi="Hankook Regular" w:cs="Arial"/>
                <w:b/>
                <w:kern w:val="0"/>
                <w:sz w:val="19"/>
                <w:szCs w:val="19"/>
                <w:lang w:val="sv-SE" w:bidi="sv-SE"/>
              </w:rPr>
              <w:t>EUR / KRW</w:t>
            </w:r>
          </w:p>
        </w:tc>
        <w:tc>
          <w:tcPr>
            <w:tcW w:w="2268" w:type="dxa"/>
            <w:tcBorders>
              <w:right w:val="double" w:sz="4" w:space="0" w:color="auto"/>
            </w:tcBorders>
            <w:shd w:val="clear" w:color="auto" w:fill="auto"/>
            <w:vAlign w:val="center"/>
          </w:tcPr>
          <w:p w14:paraId="2547D542" w14:textId="77777777" w:rsidR="00DB1E78" w:rsidRPr="00651BCF" w:rsidRDefault="00DB1E78" w:rsidP="00651BCF">
            <w:pPr>
              <w:keepNext/>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Theme="minorEastAsia" w:hAnsi="Hankook Regular" w:cs="Hankook Regular" w:hint="eastAsia"/>
                <w:b/>
                <w:sz w:val="19"/>
                <w:szCs w:val="19"/>
                <w:lang w:val="sv-SE" w:bidi="sv-SE"/>
              </w:rPr>
              <w:t>1 345,99</w:t>
            </w:r>
          </w:p>
        </w:tc>
        <w:tc>
          <w:tcPr>
            <w:tcW w:w="2268" w:type="dxa"/>
            <w:tcBorders>
              <w:left w:val="double" w:sz="4" w:space="0" w:color="auto"/>
              <w:right w:val="double" w:sz="4" w:space="0" w:color="auto"/>
            </w:tcBorders>
            <w:shd w:val="clear" w:color="auto" w:fill="auto"/>
            <w:vAlign w:val="center"/>
          </w:tcPr>
          <w:p w14:paraId="4FCD01CF" w14:textId="77777777" w:rsidR="00DB1E78" w:rsidRPr="00651BCF" w:rsidRDefault="00DB1E78" w:rsidP="00651BCF">
            <w:pPr>
              <w:keepNext/>
              <w:widowControl/>
              <w:wordWrap/>
              <w:autoSpaceDE/>
              <w:autoSpaceDN/>
              <w:spacing w:line="276" w:lineRule="auto"/>
              <w:jc w:val="center"/>
              <w:rPr>
                <w:rFonts w:ascii="Hankook Regular" w:eastAsiaTheme="minorEastAsia" w:hAnsi="Hankook Regular"/>
                <w:b/>
                <w:sz w:val="19"/>
                <w:szCs w:val="19"/>
                <w:lang w:val="en-GB"/>
              </w:rPr>
            </w:pPr>
            <w:r w:rsidRPr="00651BCF">
              <w:rPr>
                <w:rFonts w:ascii="Hankook Regular" w:eastAsiaTheme="minorEastAsia" w:hAnsi="Hankook Regular" w:cs="Hankook Regular" w:hint="eastAsia"/>
                <w:b/>
                <w:sz w:val="19"/>
                <w:szCs w:val="19"/>
                <w:lang w:val="sv-SE" w:bidi="sv-SE"/>
              </w:rPr>
              <w:t>1 352,79</w:t>
            </w:r>
          </w:p>
        </w:tc>
      </w:tr>
    </w:tbl>
    <w:p w14:paraId="3E5686FF" w14:textId="575EA039" w:rsidR="00DB1E78" w:rsidRPr="00651BCF" w:rsidRDefault="00DB1E78" w:rsidP="00651BCF">
      <w:pPr>
        <w:wordWrap/>
        <w:spacing w:line="276" w:lineRule="auto"/>
        <w:rPr>
          <w:rFonts w:ascii="Hankook Regular" w:eastAsia="Hankook Regular" w:hAnsi="Hankook Regular" w:cs="Arial"/>
          <w:i/>
          <w:sz w:val="19"/>
          <w:szCs w:val="19"/>
          <w:lang w:val="sv-SE"/>
        </w:rPr>
      </w:pPr>
      <w:r w:rsidRPr="00651BCF">
        <w:rPr>
          <w:rFonts w:ascii="Hankook Regular" w:eastAsia="Hankook Regular" w:hAnsi="Hankook Regular" w:cs="Arial"/>
          <w:i/>
          <w:sz w:val="19"/>
          <w:szCs w:val="19"/>
          <w:lang w:val="sv-SE" w:bidi="sv-SE"/>
        </w:rPr>
        <w:t>(ANMÄRKNING: Genomsnittliga växelkurser för respektive årsperiod, hämtade från Korea Exchange Bank)</w:t>
      </w:r>
    </w:p>
    <w:p w14:paraId="03340D3E" w14:textId="77777777" w:rsidR="00827ECF" w:rsidRDefault="00827ECF" w:rsidP="00827ECF">
      <w:pPr>
        <w:wordWrap/>
        <w:spacing w:line="276" w:lineRule="auto"/>
        <w:rPr>
          <w:rFonts w:ascii="Times New Roman"/>
          <w:b/>
          <w:bCs/>
          <w:sz w:val="21"/>
          <w:szCs w:val="21"/>
          <w:lang w:val="de-DE"/>
        </w:rPr>
      </w:pPr>
      <w:bookmarkStart w:id="0" w:name="_Hlk95379356"/>
    </w:p>
    <w:p w14:paraId="7EECC6E1" w14:textId="77777777" w:rsidR="00827ECF" w:rsidRPr="00827ECF" w:rsidRDefault="00827ECF" w:rsidP="00827ECF">
      <w:pPr>
        <w:wordWrap/>
        <w:spacing w:line="276" w:lineRule="auto"/>
        <w:jc w:val="center"/>
        <w:rPr>
          <w:rFonts w:ascii="Times New Roman"/>
          <w:b/>
          <w:bCs/>
          <w:sz w:val="21"/>
          <w:szCs w:val="21"/>
          <w:lang w:val="sv-SE"/>
        </w:rPr>
      </w:pPr>
      <w:r>
        <w:rPr>
          <w:rFonts w:ascii="Times New Roman"/>
          <w:snapToGrid w:val="0"/>
          <w:sz w:val="21"/>
          <w:szCs w:val="21"/>
          <w:lang w:val="tr-TR" w:eastAsia="de-DE"/>
        </w:rPr>
        <w:t>###</w:t>
      </w:r>
    </w:p>
    <w:p w14:paraId="5C96B141" w14:textId="77777777" w:rsidR="00827ECF" w:rsidRPr="00827ECF" w:rsidRDefault="00827ECF" w:rsidP="00827ECF">
      <w:pPr>
        <w:wordWrap/>
        <w:spacing w:line="276" w:lineRule="auto"/>
        <w:rPr>
          <w:rFonts w:ascii="Times New Roman"/>
          <w:b/>
          <w:bCs/>
          <w:sz w:val="21"/>
          <w:szCs w:val="21"/>
          <w:lang w:val="sv-SE"/>
        </w:rPr>
      </w:pPr>
    </w:p>
    <w:p w14:paraId="1C1B03C6" w14:textId="77777777" w:rsidR="00827ECF" w:rsidRPr="00827ECF" w:rsidRDefault="00827ECF" w:rsidP="00827ECF">
      <w:pPr>
        <w:wordWrap/>
        <w:spacing w:line="276" w:lineRule="auto"/>
        <w:rPr>
          <w:rFonts w:ascii="Times New Roman"/>
          <w:b/>
          <w:bCs/>
          <w:sz w:val="21"/>
          <w:szCs w:val="21"/>
          <w:lang w:val="sv-SE"/>
        </w:rPr>
      </w:pPr>
      <w:r w:rsidRPr="00827ECF">
        <w:rPr>
          <w:rFonts w:ascii="Times New Roman"/>
          <w:b/>
          <w:bCs/>
          <w:sz w:val="21"/>
          <w:szCs w:val="21"/>
          <w:lang w:val="sv-SE"/>
        </w:rPr>
        <w:t>Om Hankook</w:t>
      </w:r>
    </w:p>
    <w:p w14:paraId="536C91C1" w14:textId="77777777" w:rsidR="00827ECF" w:rsidRPr="00827ECF" w:rsidRDefault="00827ECF" w:rsidP="00827ECF">
      <w:pPr>
        <w:wordWrap/>
        <w:spacing w:line="276" w:lineRule="auto"/>
        <w:rPr>
          <w:rFonts w:ascii="Times New Roman"/>
          <w:b/>
          <w:bCs/>
          <w:sz w:val="21"/>
          <w:szCs w:val="21"/>
          <w:lang w:val="sv-SE"/>
        </w:rPr>
      </w:pPr>
    </w:p>
    <w:p w14:paraId="07207641" w14:textId="77777777" w:rsidR="00827ECF" w:rsidRPr="00236BCB" w:rsidRDefault="00827ECF" w:rsidP="00827ECF">
      <w:pPr>
        <w:wordWrap/>
        <w:spacing w:line="276" w:lineRule="auto"/>
        <w:rPr>
          <w:rFonts w:ascii="Times New Roman"/>
          <w:kern w:val="0"/>
          <w:sz w:val="21"/>
          <w:szCs w:val="21"/>
          <w:lang w:val="sv-SE"/>
        </w:rPr>
      </w:pPr>
      <w:r w:rsidRPr="00236BCB">
        <w:rPr>
          <w:rFonts w:ascii="Times New Roman"/>
          <w:kern w:val="0"/>
          <w:sz w:val="21"/>
          <w:szCs w:val="21"/>
          <w:lang w:val="sv-SE"/>
        </w:rPr>
        <w:t>Hankook tillverkar innovativa och testvinnande radialdäck av högsta kvalitet inom premiumsegmentet för personbilar, SUV:ar, terrängbilar, lätta lastbilar, husbilar, lastbilar, bussar och bilsport (bana/rally).</w:t>
      </w:r>
    </w:p>
    <w:p w14:paraId="036546A0" w14:textId="77777777" w:rsidR="00827ECF" w:rsidRPr="00236BCB" w:rsidRDefault="00827ECF" w:rsidP="00827ECF">
      <w:pPr>
        <w:wordWrap/>
        <w:spacing w:line="276" w:lineRule="auto"/>
        <w:rPr>
          <w:rFonts w:ascii="Times New Roman"/>
          <w:kern w:val="0"/>
          <w:sz w:val="21"/>
          <w:szCs w:val="21"/>
          <w:lang w:val="sv-SE"/>
        </w:rPr>
      </w:pPr>
    </w:p>
    <w:p w14:paraId="5F5325A4" w14:textId="77777777" w:rsidR="00827ECF" w:rsidRPr="00236BCB" w:rsidRDefault="00827ECF" w:rsidP="00827ECF">
      <w:pPr>
        <w:wordWrap/>
        <w:spacing w:line="276" w:lineRule="auto"/>
        <w:rPr>
          <w:rFonts w:ascii="Times New Roman"/>
          <w:kern w:val="0"/>
          <w:sz w:val="21"/>
          <w:szCs w:val="21"/>
          <w:lang w:val="sv-SE"/>
        </w:rPr>
      </w:pPr>
      <w:r w:rsidRPr="00236BCB">
        <w:rPr>
          <w:rFonts w:ascii="Times New Roman"/>
          <w:kern w:val="0"/>
          <w:sz w:val="21"/>
          <w:szCs w:val="21"/>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 miljoner däck om året till personbilar, SUV:ar och lätta lastbilar.</w:t>
      </w:r>
    </w:p>
    <w:p w14:paraId="13D7E34A" w14:textId="77777777" w:rsidR="00827ECF" w:rsidRPr="00236BCB" w:rsidRDefault="00827ECF" w:rsidP="00827ECF">
      <w:pPr>
        <w:wordWrap/>
        <w:spacing w:line="276" w:lineRule="auto"/>
        <w:rPr>
          <w:rFonts w:ascii="Times New Roman"/>
          <w:kern w:val="0"/>
          <w:sz w:val="21"/>
          <w:szCs w:val="21"/>
          <w:lang w:val="sv-SE"/>
        </w:rPr>
      </w:pPr>
    </w:p>
    <w:p w14:paraId="5C375823" w14:textId="77777777" w:rsidR="00827ECF" w:rsidRPr="00236BCB" w:rsidRDefault="00827ECF" w:rsidP="00827ECF">
      <w:pPr>
        <w:wordWrap/>
        <w:spacing w:line="276" w:lineRule="auto"/>
        <w:rPr>
          <w:rFonts w:ascii="Times New Roman"/>
          <w:kern w:val="0"/>
          <w:sz w:val="21"/>
          <w:szCs w:val="21"/>
          <w:lang w:val="sv-SE"/>
        </w:rPr>
      </w:pPr>
      <w:r w:rsidRPr="00236BCB">
        <w:rPr>
          <w:rFonts w:ascii="Times New Roman"/>
          <w:kern w:val="0"/>
          <w:sz w:val="21"/>
          <w:szCs w:val="21"/>
          <w:lang w:val="sv-SE"/>
        </w:rPr>
        <w:t xml:space="preserve">Hankooks Europa- och Tysklands-säte ligger i Neu-Isenburg i närheten av Frankfurt am Main. I Europa har Hankook ett antal filialer: Frankrike, Italien, Nederländerna, </w:t>
      </w:r>
      <w:r>
        <w:rPr>
          <w:rFonts w:ascii="Times New Roman"/>
          <w:kern w:val="0"/>
          <w:sz w:val="21"/>
          <w:szCs w:val="21"/>
          <w:lang w:val="sv-SE"/>
        </w:rPr>
        <w:t xml:space="preserve">Österrike, </w:t>
      </w:r>
      <w:r w:rsidRPr="00236BCB">
        <w:rPr>
          <w:rFonts w:ascii="Times New Roman"/>
          <w:kern w:val="0"/>
          <w:sz w:val="21"/>
          <w:szCs w:val="21"/>
          <w:lang w:val="sv-SE"/>
        </w:rPr>
        <w:t>Polen, Ryssland,</w:t>
      </w:r>
      <w:r>
        <w:rPr>
          <w:rFonts w:ascii="Times New Roman"/>
          <w:kern w:val="0"/>
          <w:sz w:val="21"/>
          <w:szCs w:val="21"/>
          <w:lang w:val="sv-SE"/>
        </w:rPr>
        <w:t xml:space="preserve"> Serbien,</w:t>
      </w:r>
      <w:r w:rsidRPr="00236BCB">
        <w:rPr>
          <w:rFonts w:ascii="Times New Roman"/>
          <w:kern w:val="0"/>
          <w:sz w:val="21"/>
          <w:szCs w:val="21"/>
          <w:lang w:val="sv-SE"/>
        </w:rPr>
        <w:t xml:space="preserve"> Spanien, Storbritannien, Sverige, Tjeckien, Turkiet, Ukraina och Ungern. Hankooks däck säljs direkt via regionala distributörer till ytterligare europeiska </w:t>
      </w:r>
      <w:r>
        <w:rPr>
          <w:rFonts w:ascii="Times New Roman"/>
          <w:kern w:val="0"/>
          <w:sz w:val="21"/>
          <w:szCs w:val="21"/>
          <w:lang w:val="sv-SE"/>
        </w:rPr>
        <w:t>länder. Idag har företaget ca 20</w:t>
      </w:r>
      <w:r w:rsidRPr="00236BCB">
        <w:rPr>
          <w:rFonts w:ascii="Times New Roman"/>
          <w:kern w:val="0"/>
          <w:sz w:val="21"/>
          <w:szCs w:val="21"/>
          <w:lang w:val="sv-SE"/>
        </w:rPr>
        <w:t xml:space="preserve"> 000 anställda och levererar sina produkter till drygt 180 länder. Ledande fordonstillverkare förlitar sig på Hankook som originalutrustningsleverantör av däck. Runt 3</w:t>
      </w:r>
      <w:r>
        <w:rPr>
          <w:rFonts w:ascii="Times New Roman"/>
          <w:kern w:val="0"/>
          <w:sz w:val="21"/>
          <w:szCs w:val="21"/>
          <w:lang w:val="sv-SE"/>
        </w:rPr>
        <w:t xml:space="preserve">4 </w:t>
      </w:r>
      <w:r w:rsidRPr="00236BCB">
        <w:rPr>
          <w:rFonts w:ascii="Times New Roman"/>
          <w:kern w:val="0"/>
          <w:sz w:val="21"/>
          <w:szCs w:val="21"/>
          <w:lang w:val="sv-SE"/>
        </w:rPr>
        <w:t>% av den globala omsättningen hänför sig till Europa och OSS. Sedan 2016 är Hankook Tire representerat i ansedda Dow Jones Sustainability Index World (DJSI World).</w:t>
      </w:r>
    </w:p>
    <w:p w14:paraId="523D10C7" w14:textId="77777777" w:rsidR="00827ECF" w:rsidRPr="00236BCB" w:rsidRDefault="00827ECF" w:rsidP="00827ECF">
      <w:pPr>
        <w:wordWrap/>
        <w:spacing w:line="276" w:lineRule="auto"/>
        <w:rPr>
          <w:rFonts w:ascii="Times New Roman"/>
          <w:kern w:val="0"/>
          <w:sz w:val="21"/>
          <w:szCs w:val="21"/>
          <w:lang w:val="sv-SE"/>
        </w:rPr>
      </w:pPr>
    </w:p>
    <w:p w14:paraId="0BB988E0" w14:textId="77777777" w:rsidR="00827ECF" w:rsidRPr="00236BCB" w:rsidRDefault="00827ECF" w:rsidP="00827ECF">
      <w:pPr>
        <w:wordWrap/>
        <w:spacing w:line="276" w:lineRule="auto"/>
        <w:rPr>
          <w:rFonts w:ascii="Times New Roman"/>
          <w:kern w:val="0"/>
          <w:sz w:val="21"/>
          <w:szCs w:val="21"/>
          <w:lang w:val="sv-SE"/>
        </w:rPr>
      </w:pPr>
      <w:r w:rsidRPr="00236BCB">
        <w:rPr>
          <w:rFonts w:ascii="Times New Roman"/>
          <w:kern w:val="0"/>
          <w:sz w:val="21"/>
          <w:szCs w:val="21"/>
          <w:lang w:val="sv-SE"/>
        </w:rPr>
        <w:t xml:space="preserve">Mer information återfinns på </w:t>
      </w:r>
      <w:hyperlink r:id="rId11" w:history="1">
        <w:r w:rsidRPr="00236BCB">
          <w:rPr>
            <w:rStyle w:val="Hyperlink"/>
            <w:rFonts w:ascii="Times New Roman"/>
            <w:kern w:val="0"/>
            <w:sz w:val="21"/>
            <w:szCs w:val="21"/>
            <w:lang w:val="sv-SE"/>
          </w:rPr>
          <w:t>www.hankooktire-mediacenter.com</w:t>
        </w:r>
      </w:hyperlink>
      <w:r w:rsidRPr="00236BCB">
        <w:rPr>
          <w:rFonts w:ascii="Times New Roman"/>
          <w:kern w:val="0"/>
          <w:sz w:val="21"/>
          <w:szCs w:val="21"/>
          <w:lang w:val="sv-SE"/>
        </w:rPr>
        <w:t xml:space="preserve"> eller </w:t>
      </w:r>
      <w:hyperlink r:id="rId12" w:history="1">
        <w:r w:rsidRPr="00236BCB">
          <w:rPr>
            <w:rStyle w:val="Hyperlink"/>
            <w:rFonts w:ascii="Times New Roman"/>
            <w:kern w:val="0"/>
            <w:sz w:val="21"/>
            <w:szCs w:val="21"/>
            <w:lang w:val="sv-SE"/>
          </w:rPr>
          <w:t>www.hankooktire.com</w:t>
        </w:r>
      </w:hyperlink>
    </w:p>
    <w:p w14:paraId="67C4A009" w14:textId="77777777" w:rsidR="00827ECF" w:rsidRPr="00236BCB" w:rsidRDefault="00827ECF" w:rsidP="00827ECF">
      <w:pPr>
        <w:wordWrap/>
        <w:spacing w:line="276" w:lineRule="auto"/>
        <w:rPr>
          <w:u w:val="single"/>
          <w:lang w:val="sv-SE"/>
        </w:rPr>
      </w:pPr>
    </w:p>
    <w:tbl>
      <w:tblPr>
        <w:tblW w:w="9437" w:type="dxa"/>
        <w:shd w:val="clear" w:color="auto" w:fill="F2F2F2"/>
        <w:tblLook w:val="04A0" w:firstRow="1" w:lastRow="0" w:firstColumn="1" w:lastColumn="0" w:noHBand="0" w:noVBand="1"/>
      </w:tblPr>
      <w:tblGrid>
        <w:gridCol w:w="2692"/>
        <w:gridCol w:w="2248"/>
        <w:gridCol w:w="2248"/>
        <w:gridCol w:w="2249"/>
      </w:tblGrid>
      <w:tr w:rsidR="00827ECF" w:rsidRPr="007A15C0" w14:paraId="04470652" w14:textId="77777777" w:rsidTr="001B41BC">
        <w:tc>
          <w:tcPr>
            <w:tcW w:w="9437" w:type="dxa"/>
            <w:gridSpan w:val="4"/>
            <w:shd w:val="clear" w:color="auto" w:fill="F2F2F2"/>
          </w:tcPr>
          <w:p w14:paraId="7D3C6EFA" w14:textId="77777777" w:rsidR="00827ECF" w:rsidRPr="002608D7" w:rsidRDefault="00827ECF" w:rsidP="001B41BC">
            <w:pPr>
              <w:wordWrap/>
              <w:spacing w:line="276" w:lineRule="auto"/>
              <w:rPr>
                <w:rFonts w:ascii="Times New Roman"/>
                <w:b/>
                <w:bCs/>
                <w:sz w:val="21"/>
                <w:szCs w:val="21"/>
                <w:u w:val="single"/>
                <w:lang w:val="sv-SE"/>
              </w:rPr>
            </w:pPr>
            <w:r w:rsidRPr="002608D7">
              <w:rPr>
                <w:rFonts w:ascii="Times New Roman"/>
                <w:b/>
                <w:bCs/>
                <w:sz w:val="21"/>
                <w:szCs w:val="21"/>
                <w:u w:val="single"/>
                <w:lang w:val="sv-SE"/>
              </w:rPr>
              <w:t>Kontakt:</w:t>
            </w:r>
          </w:p>
          <w:p w14:paraId="127A7ABD" w14:textId="77777777" w:rsidR="00827ECF" w:rsidRPr="002833F7" w:rsidRDefault="00827ECF" w:rsidP="001B41BC">
            <w:pPr>
              <w:spacing w:line="276" w:lineRule="auto"/>
              <w:rPr>
                <w:rFonts w:ascii="Times New Roman" w:eastAsia="Times New Roman"/>
                <w:color w:val="00000A"/>
                <w:kern w:val="0"/>
                <w:sz w:val="16"/>
                <w:szCs w:val="16"/>
                <w:lang w:val="sv-SE" w:eastAsia="en-GB" w:bidi="en-GB"/>
              </w:rPr>
            </w:pPr>
            <w:r w:rsidRPr="002833F7">
              <w:rPr>
                <w:rFonts w:ascii="Times New Roman" w:eastAsia="Times New Roman"/>
                <w:b/>
                <w:bCs/>
                <w:color w:val="00000A"/>
                <w:kern w:val="0"/>
                <w:sz w:val="16"/>
                <w:szCs w:val="16"/>
                <w:lang w:val="sv-SE" w:eastAsia="en-GB" w:bidi="en-GB"/>
              </w:rPr>
              <w:t xml:space="preserve">Hankook Tire Sweden AB | </w:t>
            </w:r>
            <w:r w:rsidRPr="002833F7">
              <w:rPr>
                <w:rFonts w:ascii="Times New Roman" w:eastAsia="Times New Roman"/>
                <w:color w:val="00000A"/>
                <w:kern w:val="0"/>
                <w:sz w:val="16"/>
                <w:szCs w:val="16"/>
                <w:lang w:val="sv-SE" w:eastAsia="en-GB" w:bidi="en-GB"/>
              </w:rPr>
              <w:t xml:space="preserve">Kanalvägen 12  </w:t>
            </w:r>
            <w:r w:rsidRPr="002833F7">
              <w:rPr>
                <w:rFonts w:ascii="Times New Roman" w:eastAsia="Times New Roman"/>
                <w:b/>
                <w:bCs/>
                <w:color w:val="00000A"/>
                <w:kern w:val="0"/>
                <w:sz w:val="16"/>
                <w:szCs w:val="16"/>
                <w:lang w:val="sv-SE" w:eastAsia="en-GB" w:bidi="en-GB"/>
              </w:rPr>
              <w:t xml:space="preserve">| </w:t>
            </w:r>
            <w:r w:rsidRPr="002833F7">
              <w:rPr>
                <w:rFonts w:ascii="Times New Roman" w:eastAsia="Times New Roman"/>
                <w:color w:val="00000A"/>
                <w:kern w:val="0"/>
                <w:sz w:val="16"/>
                <w:szCs w:val="16"/>
                <w:lang w:val="sv-SE" w:eastAsia="en-GB" w:bidi="en-GB"/>
              </w:rPr>
              <w:t xml:space="preserve">194 61 Upplands-Väsby </w:t>
            </w:r>
            <w:r w:rsidRPr="002833F7">
              <w:rPr>
                <w:rFonts w:ascii="Times New Roman" w:eastAsia="Times New Roman"/>
                <w:b/>
                <w:bCs/>
                <w:color w:val="00000A"/>
                <w:kern w:val="0"/>
                <w:sz w:val="16"/>
                <w:szCs w:val="16"/>
                <w:lang w:val="sv-SE" w:eastAsia="en-GB" w:bidi="en-GB"/>
              </w:rPr>
              <w:t xml:space="preserve">| </w:t>
            </w:r>
            <w:r w:rsidRPr="002833F7">
              <w:rPr>
                <w:rFonts w:ascii="Times New Roman" w:eastAsia="Times New Roman"/>
                <w:color w:val="00000A"/>
                <w:kern w:val="0"/>
                <w:sz w:val="16"/>
                <w:szCs w:val="16"/>
                <w:lang w:val="sv-SE" w:eastAsia="en-GB" w:bidi="en-GB"/>
              </w:rPr>
              <w:t>Sverige</w:t>
            </w:r>
          </w:p>
          <w:p w14:paraId="7FC35955" w14:textId="77777777" w:rsidR="00827ECF" w:rsidRPr="007A15C0" w:rsidRDefault="00827ECF" w:rsidP="001B41BC">
            <w:pPr>
              <w:wordWrap/>
              <w:spacing w:line="276" w:lineRule="auto"/>
              <w:rPr>
                <w:rFonts w:ascii="Times New Roman"/>
                <w:sz w:val="16"/>
                <w:szCs w:val="16"/>
                <w:u w:val="single"/>
                <w:lang w:val="sv-SE"/>
              </w:rPr>
            </w:pPr>
          </w:p>
        </w:tc>
      </w:tr>
      <w:tr w:rsidR="00827ECF" w:rsidRPr="000C344E" w14:paraId="768F089B" w14:textId="77777777" w:rsidTr="001B41BC">
        <w:tc>
          <w:tcPr>
            <w:tcW w:w="2359" w:type="dxa"/>
            <w:shd w:val="clear" w:color="auto" w:fill="F2F2F2"/>
          </w:tcPr>
          <w:p w14:paraId="33CA35C1" w14:textId="77777777" w:rsidR="00827ECF" w:rsidRPr="007A15C0" w:rsidRDefault="00827ECF" w:rsidP="001B41BC">
            <w:pPr>
              <w:wordWrap/>
              <w:spacing w:line="276" w:lineRule="auto"/>
              <w:rPr>
                <w:rFonts w:ascii="Times New Roman"/>
                <w:b/>
                <w:snapToGrid w:val="0"/>
                <w:sz w:val="16"/>
                <w:szCs w:val="16"/>
                <w:lang w:val="de-DE"/>
              </w:rPr>
            </w:pPr>
            <w:r w:rsidRPr="007A15C0">
              <w:rPr>
                <w:rFonts w:ascii="Times New Roman"/>
                <w:b/>
                <w:snapToGrid w:val="0"/>
                <w:sz w:val="16"/>
                <w:szCs w:val="16"/>
                <w:lang w:val="de-DE"/>
              </w:rPr>
              <w:t>Christine Silfversparre</w:t>
            </w:r>
          </w:p>
          <w:p w14:paraId="6F7D0F44" w14:textId="77777777" w:rsidR="00827ECF" w:rsidRPr="007A15C0" w:rsidRDefault="00827ECF" w:rsidP="001B41BC">
            <w:pPr>
              <w:wordWrap/>
              <w:spacing w:line="276" w:lineRule="auto"/>
              <w:rPr>
                <w:rFonts w:ascii="Times New Roman"/>
                <w:snapToGrid w:val="0"/>
                <w:sz w:val="16"/>
                <w:szCs w:val="16"/>
                <w:lang w:val="de-DE"/>
              </w:rPr>
            </w:pPr>
            <w:r w:rsidRPr="007A15C0">
              <w:rPr>
                <w:rFonts w:ascii="Times New Roman"/>
                <w:snapToGrid w:val="0"/>
                <w:sz w:val="16"/>
                <w:szCs w:val="16"/>
                <w:lang w:val="de-DE"/>
              </w:rPr>
              <w:t>Marketing Manager</w:t>
            </w:r>
          </w:p>
          <w:p w14:paraId="2BBFA1F5" w14:textId="77777777" w:rsidR="00827ECF" w:rsidRPr="007A15C0" w:rsidRDefault="00827ECF" w:rsidP="001B41BC">
            <w:pPr>
              <w:wordWrap/>
              <w:spacing w:line="276" w:lineRule="auto"/>
              <w:rPr>
                <w:rFonts w:ascii="Times New Roman"/>
                <w:snapToGrid w:val="0"/>
                <w:sz w:val="16"/>
                <w:szCs w:val="16"/>
                <w:lang w:val="de-DE"/>
              </w:rPr>
            </w:pPr>
            <w:r w:rsidRPr="007A15C0">
              <w:rPr>
                <w:rFonts w:ascii="Times New Roman"/>
                <w:snapToGrid w:val="0"/>
                <w:sz w:val="16"/>
                <w:szCs w:val="16"/>
                <w:lang w:val="de-DE"/>
              </w:rPr>
              <w:t>tel.: +46 (0) 733 251 539</w:t>
            </w:r>
          </w:p>
          <w:p w14:paraId="71B51063" w14:textId="77777777" w:rsidR="00827ECF" w:rsidRPr="007A15C0" w:rsidRDefault="00F27D0D" w:rsidP="001B41BC">
            <w:pPr>
              <w:wordWrap/>
              <w:spacing w:line="276" w:lineRule="auto"/>
              <w:rPr>
                <w:rFonts w:ascii="Times New Roman"/>
                <w:snapToGrid w:val="0"/>
                <w:sz w:val="16"/>
                <w:szCs w:val="16"/>
                <w:lang w:val="de-DE"/>
              </w:rPr>
            </w:pPr>
            <w:hyperlink r:id="rId13" w:history="1">
              <w:r w:rsidR="00827ECF" w:rsidRPr="007A15C0">
                <w:rPr>
                  <w:rStyle w:val="Hyperlink"/>
                  <w:rFonts w:ascii="Times New Roman"/>
                  <w:snapToGrid w:val="0"/>
                  <w:sz w:val="16"/>
                  <w:szCs w:val="16"/>
                  <w:lang w:val="de-DE"/>
                </w:rPr>
                <w:t>christine.silfversparre@hankooktire.se</w:t>
              </w:r>
            </w:hyperlink>
          </w:p>
          <w:p w14:paraId="4A42A4BE" w14:textId="77777777" w:rsidR="00827ECF" w:rsidRPr="007A15C0" w:rsidRDefault="00827ECF" w:rsidP="001B41BC">
            <w:pPr>
              <w:wordWrap/>
              <w:spacing w:line="276" w:lineRule="auto"/>
              <w:rPr>
                <w:rFonts w:ascii="Times New Roman"/>
                <w:snapToGrid w:val="0"/>
                <w:sz w:val="16"/>
                <w:szCs w:val="16"/>
                <w:lang w:val="de-DE"/>
              </w:rPr>
            </w:pPr>
          </w:p>
        </w:tc>
        <w:tc>
          <w:tcPr>
            <w:tcW w:w="2359" w:type="dxa"/>
            <w:shd w:val="clear" w:color="auto" w:fill="F2F2F2"/>
          </w:tcPr>
          <w:p w14:paraId="79B6F3BF" w14:textId="77777777" w:rsidR="00827ECF" w:rsidRPr="007A15C0" w:rsidRDefault="00827ECF" w:rsidP="001B41BC">
            <w:pPr>
              <w:wordWrap/>
              <w:spacing w:line="276" w:lineRule="auto"/>
              <w:rPr>
                <w:rFonts w:ascii="Times New Roman"/>
                <w:color w:val="0070C0"/>
                <w:sz w:val="16"/>
                <w:szCs w:val="16"/>
                <w:lang w:val="de-DE"/>
              </w:rPr>
            </w:pPr>
          </w:p>
        </w:tc>
        <w:tc>
          <w:tcPr>
            <w:tcW w:w="2359" w:type="dxa"/>
            <w:shd w:val="clear" w:color="auto" w:fill="F2F2F2"/>
          </w:tcPr>
          <w:p w14:paraId="7AB1E7B6" w14:textId="77777777" w:rsidR="00827ECF" w:rsidRPr="007A15C0" w:rsidRDefault="00827ECF" w:rsidP="001B41BC">
            <w:pPr>
              <w:wordWrap/>
              <w:spacing w:line="276" w:lineRule="auto"/>
              <w:rPr>
                <w:rFonts w:ascii="Times New Roman"/>
                <w:sz w:val="16"/>
                <w:szCs w:val="16"/>
                <w:lang w:val="de-DE"/>
              </w:rPr>
            </w:pPr>
          </w:p>
        </w:tc>
        <w:tc>
          <w:tcPr>
            <w:tcW w:w="2360" w:type="dxa"/>
            <w:shd w:val="clear" w:color="auto" w:fill="F2F2F2"/>
          </w:tcPr>
          <w:p w14:paraId="16131EBD" w14:textId="77777777" w:rsidR="00827ECF" w:rsidRPr="007A15C0" w:rsidRDefault="00827ECF" w:rsidP="001B41BC">
            <w:pPr>
              <w:wordWrap/>
              <w:spacing w:line="276" w:lineRule="auto"/>
              <w:rPr>
                <w:rFonts w:ascii="Times New Roman"/>
                <w:sz w:val="16"/>
                <w:szCs w:val="16"/>
                <w:lang w:val="de-DE"/>
              </w:rPr>
            </w:pPr>
          </w:p>
        </w:tc>
      </w:tr>
      <w:bookmarkEnd w:id="0"/>
    </w:tbl>
    <w:p w14:paraId="684A1B3E" w14:textId="77777777" w:rsidR="00827ECF" w:rsidRPr="00126911" w:rsidRDefault="00827ECF" w:rsidP="00827ECF">
      <w:pPr>
        <w:wordWrap/>
        <w:spacing w:line="276" w:lineRule="auto"/>
        <w:rPr>
          <w:lang w:val="fr-FR"/>
        </w:rPr>
      </w:pPr>
    </w:p>
    <w:p w14:paraId="0E5364AF" w14:textId="65CB6C5A" w:rsidR="00E34121" w:rsidRPr="00651BCF" w:rsidRDefault="00E34121" w:rsidP="00827ECF">
      <w:pPr>
        <w:wordWrap/>
        <w:spacing w:line="360" w:lineRule="auto"/>
        <w:contextualSpacing/>
        <w:rPr>
          <w:lang w:val="en-GB"/>
        </w:rPr>
      </w:pPr>
    </w:p>
    <w:sectPr w:rsidR="00E34121" w:rsidRPr="00651BCF" w:rsidSect="00CF776C">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C587" w14:textId="77777777" w:rsidR="00833908" w:rsidRDefault="00833908" w:rsidP="002368D6">
      <w:r>
        <w:separator/>
      </w:r>
    </w:p>
  </w:endnote>
  <w:endnote w:type="continuationSeparator" w:id="0">
    <w:p w14:paraId="1C280013" w14:textId="77777777" w:rsidR="00833908" w:rsidRDefault="00833908" w:rsidP="002368D6">
      <w:r>
        <w:continuationSeparator/>
      </w:r>
    </w:p>
  </w:endnote>
  <w:endnote w:type="continuationNotice" w:id="1">
    <w:p w14:paraId="61DA37F1" w14:textId="77777777" w:rsidR="00833908" w:rsidRDefault="00833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E973" w14:textId="77777777" w:rsidR="00833908" w:rsidRDefault="00833908" w:rsidP="002368D6">
      <w:r>
        <w:separator/>
      </w:r>
    </w:p>
  </w:footnote>
  <w:footnote w:type="continuationSeparator" w:id="0">
    <w:p w14:paraId="0E0B7262" w14:textId="77777777" w:rsidR="00833908" w:rsidRDefault="00833908" w:rsidP="002368D6">
      <w:r>
        <w:continuationSeparator/>
      </w:r>
    </w:p>
  </w:footnote>
  <w:footnote w:type="continuationNotice" w:id="1">
    <w:p w14:paraId="0E371A4B" w14:textId="77777777" w:rsidR="00833908" w:rsidRDefault="00833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69B3" w14:textId="77777777" w:rsidR="00827ECF" w:rsidRDefault="00827ECF" w:rsidP="00827ECF">
    <w:pPr>
      <w:pStyle w:val="Kopfzeile"/>
    </w:pPr>
    <w:bookmarkStart w:id="1" w:name="_Hlk95379333"/>
    <w:bookmarkStart w:id="2" w:name="_Hlk95379334"/>
    <w:r>
      <w:rPr>
        <w:rFonts w:ascii="Arial" w:hAnsi="Arial" w:cs="Arial"/>
        <w:noProof/>
        <w:lang w:val="en-GB" w:eastAsia="en-GB"/>
      </w:rPr>
      <w:drawing>
        <wp:anchor distT="0" distB="0" distL="114300" distR="114300" simplePos="0" relativeHeight="251659264" behindDoc="0" locked="0" layoutInCell="1" allowOverlap="1" wp14:anchorId="7006D77C" wp14:editId="5185999F">
          <wp:simplePos x="0" y="0"/>
          <wp:positionH relativeFrom="column">
            <wp:posOffset>-727710</wp:posOffset>
          </wp:positionH>
          <wp:positionV relativeFrom="paragraph">
            <wp:posOffset>-440690</wp:posOffset>
          </wp:positionV>
          <wp:extent cx="7415530" cy="1162050"/>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53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63382D50"/>
    <w:multiLevelType w:val="hybridMultilevel"/>
    <w:tmpl w:val="06A8B96A"/>
    <w:lvl w:ilvl="0" w:tplc="2C868E38">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7865124D"/>
    <w:multiLevelType w:val="hybridMultilevel"/>
    <w:tmpl w:val="835A9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120C7"/>
    <w:rsid w:val="000175D6"/>
    <w:rsid w:val="000200CA"/>
    <w:rsid w:val="00025D93"/>
    <w:rsid w:val="00030696"/>
    <w:rsid w:val="000357E0"/>
    <w:rsid w:val="000403E1"/>
    <w:rsid w:val="00040E2C"/>
    <w:rsid w:val="000470C5"/>
    <w:rsid w:val="00055CD7"/>
    <w:rsid w:val="0006363E"/>
    <w:rsid w:val="00070D77"/>
    <w:rsid w:val="00072375"/>
    <w:rsid w:val="00074507"/>
    <w:rsid w:val="00075E7A"/>
    <w:rsid w:val="000828ED"/>
    <w:rsid w:val="000862DA"/>
    <w:rsid w:val="00094454"/>
    <w:rsid w:val="00095583"/>
    <w:rsid w:val="00097D29"/>
    <w:rsid w:val="000A6609"/>
    <w:rsid w:val="000C1971"/>
    <w:rsid w:val="000C209E"/>
    <w:rsid w:val="000C7312"/>
    <w:rsid w:val="000C7E2B"/>
    <w:rsid w:val="000E6675"/>
    <w:rsid w:val="000F35EE"/>
    <w:rsid w:val="000F4B6D"/>
    <w:rsid w:val="00100A27"/>
    <w:rsid w:val="00104CBA"/>
    <w:rsid w:val="001059CC"/>
    <w:rsid w:val="00106E8B"/>
    <w:rsid w:val="001156DB"/>
    <w:rsid w:val="00116C95"/>
    <w:rsid w:val="00117183"/>
    <w:rsid w:val="00121705"/>
    <w:rsid w:val="00125376"/>
    <w:rsid w:val="00126911"/>
    <w:rsid w:val="0012716A"/>
    <w:rsid w:val="00127868"/>
    <w:rsid w:val="00130EA4"/>
    <w:rsid w:val="0013112F"/>
    <w:rsid w:val="00134937"/>
    <w:rsid w:val="00135338"/>
    <w:rsid w:val="00136636"/>
    <w:rsid w:val="0014163B"/>
    <w:rsid w:val="00141A5B"/>
    <w:rsid w:val="0015055E"/>
    <w:rsid w:val="001520CC"/>
    <w:rsid w:val="00157EB2"/>
    <w:rsid w:val="00160828"/>
    <w:rsid w:val="00163D87"/>
    <w:rsid w:val="00166946"/>
    <w:rsid w:val="00176CF3"/>
    <w:rsid w:val="00183A7C"/>
    <w:rsid w:val="0018575B"/>
    <w:rsid w:val="00186894"/>
    <w:rsid w:val="0018689C"/>
    <w:rsid w:val="00187A32"/>
    <w:rsid w:val="00190C61"/>
    <w:rsid w:val="00191D14"/>
    <w:rsid w:val="001A43D0"/>
    <w:rsid w:val="001B3B1F"/>
    <w:rsid w:val="001B73CD"/>
    <w:rsid w:val="001C0514"/>
    <w:rsid w:val="001C2795"/>
    <w:rsid w:val="001C485F"/>
    <w:rsid w:val="001C640E"/>
    <w:rsid w:val="001E00CB"/>
    <w:rsid w:val="001E047F"/>
    <w:rsid w:val="001E0A48"/>
    <w:rsid w:val="001E1580"/>
    <w:rsid w:val="001F0043"/>
    <w:rsid w:val="001F43A2"/>
    <w:rsid w:val="001F6B06"/>
    <w:rsid w:val="00203FD8"/>
    <w:rsid w:val="002046B2"/>
    <w:rsid w:val="0020603B"/>
    <w:rsid w:val="002156E3"/>
    <w:rsid w:val="00216FEE"/>
    <w:rsid w:val="00222706"/>
    <w:rsid w:val="0022397B"/>
    <w:rsid w:val="002244B4"/>
    <w:rsid w:val="002322FE"/>
    <w:rsid w:val="00233EFF"/>
    <w:rsid w:val="00235FE9"/>
    <w:rsid w:val="002368D6"/>
    <w:rsid w:val="002413C6"/>
    <w:rsid w:val="00242322"/>
    <w:rsid w:val="00244A9D"/>
    <w:rsid w:val="00246CF1"/>
    <w:rsid w:val="00246D09"/>
    <w:rsid w:val="00247674"/>
    <w:rsid w:val="0025772A"/>
    <w:rsid w:val="002639E5"/>
    <w:rsid w:val="002668B7"/>
    <w:rsid w:val="002700ED"/>
    <w:rsid w:val="00272B99"/>
    <w:rsid w:val="00273132"/>
    <w:rsid w:val="00273CE2"/>
    <w:rsid w:val="00274364"/>
    <w:rsid w:val="00275CBD"/>
    <w:rsid w:val="00277C4D"/>
    <w:rsid w:val="0028144D"/>
    <w:rsid w:val="00281D40"/>
    <w:rsid w:val="0028434D"/>
    <w:rsid w:val="002906AC"/>
    <w:rsid w:val="00295F86"/>
    <w:rsid w:val="002A3206"/>
    <w:rsid w:val="002A697E"/>
    <w:rsid w:val="002C3D61"/>
    <w:rsid w:val="002C6C5C"/>
    <w:rsid w:val="002D0BCF"/>
    <w:rsid w:val="002D28EF"/>
    <w:rsid w:val="002D4B30"/>
    <w:rsid w:val="002D4C19"/>
    <w:rsid w:val="002D6A14"/>
    <w:rsid w:val="002F0AE8"/>
    <w:rsid w:val="002F3B02"/>
    <w:rsid w:val="00302778"/>
    <w:rsid w:val="003143F2"/>
    <w:rsid w:val="00323A61"/>
    <w:rsid w:val="00323DD3"/>
    <w:rsid w:val="003263EC"/>
    <w:rsid w:val="00327D53"/>
    <w:rsid w:val="00331A26"/>
    <w:rsid w:val="00351819"/>
    <w:rsid w:val="003556C1"/>
    <w:rsid w:val="00362E3D"/>
    <w:rsid w:val="0036385E"/>
    <w:rsid w:val="00371EF8"/>
    <w:rsid w:val="00371F14"/>
    <w:rsid w:val="00374DA5"/>
    <w:rsid w:val="00377273"/>
    <w:rsid w:val="00383294"/>
    <w:rsid w:val="00383350"/>
    <w:rsid w:val="003947CA"/>
    <w:rsid w:val="00397580"/>
    <w:rsid w:val="003A194D"/>
    <w:rsid w:val="003A1B28"/>
    <w:rsid w:val="003A3D2F"/>
    <w:rsid w:val="003A5934"/>
    <w:rsid w:val="003B6BF6"/>
    <w:rsid w:val="003C4B3B"/>
    <w:rsid w:val="003C7B45"/>
    <w:rsid w:val="003D4A0E"/>
    <w:rsid w:val="003D5034"/>
    <w:rsid w:val="003D65ED"/>
    <w:rsid w:val="003E5E28"/>
    <w:rsid w:val="003E5E96"/>
    <w:rsid w:val="003E62A6"/>
    <w:rsid w:val="003F2CAB"/>
    <w:rsid w:val="00401697"/>
    <w:rsid w:val="00401B39"/>
    <w:rsid w:val="00402AE5"/>
    <w:rsid w:val="00403A7E"/>
    <w:rsid w:val="004070DA"/>
    <w:rsid w:val="00407966"/>
    <w:rsid w:val="00412617"/>
    <w:rsid w:val="004167D5"/>
    <w:rsid w:val="0042637F"/>
    <w:rsid w:val="0043283F"/>
    <w:rsid w:val="00435A91"/>
    <w:rsid w:val="0044063D"/>
    <w:rsid w:val="00445D20"/>
    <w:rsid w:val="004633F3"/>
    <w:rsid w:val="00463C4F"/>
    <w:rsid w:val="00466FCF"/>
    <w:rsid w:val="00470648"/>
    <w:rsid w:val="004717B4"/>
    <w:rsid w:val="004739A1"/>
    <w:rsid w:val="004749FA"/>
    <w:rsid w:val="00476200"/>
    <w:rsid w:val="004822B3"/>
    <w:rsid w:val="00483DBD"/>
    <w:rsid w:val="00483F60"/>
    <w:rsid w:val="00492AEE"/>
    <w:rsid w:val="00493FB2"/>
    <w:rsid w:val="004A13A1"/>
    <w:rsid w:val="004A200E"/>
    <w:rsid w:val="004A20C9"/>
    <w:rsid w:val="004A3F0D"/>
    <w:rsid w:val="004A55D7"/>
    <w:rsid w:val="004A5EA7"/>
    <w:rsid w:val="004A6C4D"/>
    <w:rsid w:val="004B3592"/>
    <w:rsid w:val="004C1CC9"/>
    <w:rsid w:val="004D3E07"/>
    <w:rsid w:val="004D564E"/>
    <w:rsid w:val="004D6BA4"/>
    <w:rsid w:val="004D7B55"/>
    <w:rsid w:val="004E2399"/>
    <w:rsid w:val="004F0B74"/>
    <w:rsid w:val="004F11AD"/>
    <w:rsid w:val="004F294E"/>
    <w:rsid w:val="004F5CA7"/>
    <w:rsid w:val="004F7401"/>
    <w:rsid w:val="00503F48"/>
    <w:rsid w:val="00505FD3"/>
    <w:rsid w:val="00510C52"/>
    <w:rsid w:val="00516B61"/>
    <w:rsid w:val="00521975"/>
    <w:rsid w:val="00532550"/>
    <w:rsid w:val="00535EEE"/>
    <w:rsid w:val="00536D70"/>
    <w:rsid w:val="005505D7"/>
    <w:rsid w:val="005554A8"/>
    <w:rsid w:val="00555606"/>
    <w:rsid w:val="00556859"/>
    <w:rsid w:val="00563D52"/>
    <w:rsid w:val="005733A6"/>
    <w:rsid w:val="00573843"/>
    <w:rsid w:val="00576C08"/>
    <w:rsid w:val="00581356"/>
    <w:rsid w:val="00582E94"/>
    <w:rsid w:val="005907DF"/>
    <w:rsid w:val="00590A6E"/>
    <w:rsid w:val="005974F4"/>
    <w:rsid w:val="005A073F"/>
    <w:rsid w:val="005A4603"/>
    <w:rsid w:val="005B27FE"/>
    <w:rsid w:val="005B6649"/>
    <w:rsid w:val="005B74FE"/>
    <w:rsid w:val="005C1CBC"/>
    <w:rsid w:val="005C3ABE"/>
    <w:rsid w:val="005D10F7"/>
    <w:rsid w:val="005D4243"/>
    <w:rsid w:val="005E0A22"/>
    <w:rsid w:val="005E3A1C"/>
    <w:rsid w:val="005E70BA"/>
    <w:rsid w:val="00607BDB"/>
    <w:rsid w:val="00610037"/>
    <w:rsid w:val="00610859"/>
    <w:rsid w:val="006108BF"/>
    <w:rsid w:val="00615039"/>
    <w:rsid w:val="006165F3"/>
    <w:rsid w:val="0063275F"/>
    <w:rsid w:val="00634139"/>
    <w:rsid w:val="00640731"/>
    <w:rsid w:val="00640E14"/>
    <w:rsid w:val="00642818"/>
    <w:rsid w:val="0064352B"/>
    <w:rsid w:val="00644A07"/>
    <w:rsid w:val="006475B0"/>
    <w:rsid w:val="00651BCF"/>
    <w:rsid w:val="0065628D"/>
    <w:rsid w:val="00660681"/>
    <w:rsid w:val="006733F3"/>
    <w:rsid w:val="006743E7"/>
    <w:rsid w:val="00676388"/>
    <w:rsid w:val="00677B2D"/>
    <w:rsid w:val="0068063F"/>
    <w:rsid w:val="00680980"/>
    <w:rsid w:val="00686A9A"/>
    <w:rsid w:val="00687C79"/>
    <w:rsid w:val="0069141D"/>
    <w:rsid w:val="00693CD9"/>
    <w:rsid w:val="006A503B"/>
    <w:rsid w:val="006A51FF"/>
    <w:rsid w:val="006B7770"/>
    <w:rsid w:val="006B799F"/>
    <w:rsid w:val="006B7BC7"/>
    <w:rsid w:val="006D2984"/>
    <w:rsid w:val="006E0FBE"/>
    <w:rsid w:val="006E48A0"/>
    <w:rsid w:val="006F0A3C"/>
    <w:rsid w:val="006F20E1"/>
    <w:rsid w:val="006F7FE5"/>
    <w:rsid w:val="00701399"/>
    <w:rsid w:val="007227B7"/>
    <w:rsid w:val="00726426"/>
    <w:rsid w:val="00726605"/>
    <w:rsid w:val="00735907"/>
    <w:rsid w:val="00743C21"/>
    <w:rsid w:val="00746955"/>
    <w:rsid w:val="007503F5"/>
    <w:rsid w:val="00751CCA"/>
    <w:rsid w:val="007601DE"/>
    <w:rsid w:val="00767C61"/>
    <w:rsid w:val="00772F5B"/>
    <w:rsid w:val="007743DA"/>
    <w:rsid w:val="00774D06"/>
    <w:rsid w:val="00775FF1"/>
    <w:rsid w:val="0077635F"/>
    <w:rsid w:val="0078013E"/>
    <w:rsid w:val="00781F05"/>
    <w:rsid w:val="00784F92"/>
    <w:rsid w:val="00785224"/>
    <w:rsid w:val="0079270E"/>
    <w:rsid w:val="0079638B"/>
    <w:rsid w:val="007A1680"/>
    <w:rsid w:val="007A1743"/>
    <w:rsid w:val="007A5633"/>
    <w:rsid w:val="007A592C"/>
    <w:rsid w:val="007B327B"/>
    <w:rsid w:val="007B59A4"/>
    <w:rsid w:val="007B7453"/>
    <w:rsid w:val="007C082D"/>
    <w:rsid w:val="007C5890"/>
    <w:rsid w:val="007D1983"/>
    <w:rsid w:val="007D4A39"/>
    <w:rsid w:val="007D4E44"/>
    <w:rsid w:val="007E4832"/>
    <w:rsid w:val="007E493B"/>
    <w:rsid w:val="007E736E"/>
    <w:rsid w:val="007F36A5"/>
    <w:rsid w:val="007F4010"/>
    <w:rsid w:val="00800801"/>
    <w:rsid w:val="00801FC1"/>
    <w:rsid w:val="00804D8E"/>
    <w:rsid w:val="00806464"/>
    <w:rsid w:val="008075B8"/>
    <w:rsid w:val="00820985"/>
    <w:rsid w:val="0082386D"/>
    <w:rsid w:val="00826E67"/>
    <w:rsid w:val="00827C0A"/>
    <w:rsid w:val="00827ECF"/>
    <w:rsid w:val="00833908"/>
    <w:rsid w:val="00835359"/>
    <w:rsid w:val="00835BD4"/>
    <w:rsid w:val="00836F97"/>
    <w:rsid w:val="00851236"/>
    <w:rsid w:val="00853ED5"/>
    <w:rsid w:val="0086025E"/>
    <w:rsid w:val="00870838"/>
    <w:rsid w:val="00873E9A"/>
    <w:rsid w:val="008748B1"/>
    <w:rsid w:val="00874A23"/>
    <w:rsid w:val="00880362"/>
    <w:rsid w:val="00880B64"/>
    <w:rsid w:val="0088172E"/>
    <w:rsid w:val="00885015"/>
    <w:rsid w:val="0089242D"/>
    <w:rsid w:val="00892C37"/>
    <w:rsid w:val="00893EEA"/>
    <w:rsid w:val="008943DE"/>
    <w:rsid w:val="008948B9"/>
    <w:rsid w:val="008A08B4"/>
    <w:rsid w:val="008A3876"/>
    <w:rsid w:val="008B0EC7"/>
    <w:rsid w:val="008B1228"/>
    <w:rsid w:val="008B7158"/>
    <w:rsid w:val="008B7A37"/>
    <w:rsid w:val="008C027B"/>
    <w:rsid w:val="008C3161"/>
    <w:rsid w:val="008C5032"/>
    <w:rsid w:val="008D2812"/>
    <w:rsid w:val="008E48A3"/>
    <w:rsid w:val="008E5D24"/>
    <w:rsid w:val="008F4443"/>
    <w:rsid w:val="008F77C8"/>
    <w:rsid w:val="00906F4B"/>
    <w:rsid w:val="00912173"/>
    <w:rsid w:val="0091627C"/>
    <w:rsid w:val="00924B91"/>
    <w:rsid w:val="00927792"/>
    <w:rsid w:val="009300C6"/>
    <w:rsid w:val="009447C3"/>
    <w:rsid w:val="00953D63"/>
    <w:rsid w:val="00955452"/>
    <w:rsid w:val="00967F2A"/>
    <w:rsid w:val="009859A3"/>
    <w:rsid w:val="00987BA7"/>
    <w:rsid w:val="0099078A"/>
    <w:rsid w:val="0099716F"/>
    <w:rsid w:val="009A453A"/>
    <w:rsid w:val="009C431A"/>
    <w:rsid w:val="009C5890"/>
    <w:rsid w:val="009D01E4"/>
    <w:rsid w:val="009D1B33"/>
    <w:rsid w:val="009D30D8"/>
    <w:rsid w:val="009D7367"/>
    <w:rsid w:val="009E569A"/>
    <w:rsid w:val="009F2A7A"/>
    <w:rsid w:val="009F32B5"/>
    <w:rsid w:val="00A030CB"/>
    <w:rsid w:val="00A04208"/>
    <w:rsid w:val="00A049F7"/>
    <w:rsid w:val="00A05C0E"/>
    <w:rsid w:val="00A12B48"/>
    <w:rsid w:val="00A13419"/>
    <w:rsid w:val="00A1510F"/>
    <w:rsid w:val="00A2034F"/>
    <w:rsid w:val="00A22948"/>
    <w:rsid w:val="00A26CF5"/>
    <w:rsid w:val="00A43C22"/>
    <w:rsid w:val="00A43EE3"/>
    <w:rsid w:val="00A459B1"/>
    <w:rsid w:val="00A51C50"/>
    <w:rsid w:val="00A61A3E"/>
    <w:rsid w:val="00A61B63"/>
    <w:rsid w:val="00A61C9E"/>
    <w:rsid w:val="00A66E16"/>
    <w:rsid w:val="00A6786A"/>
    <w:rsid w:val="00A700DE"/>
    <w:rsid w:val="00A76254"/>
    <w:rsid w:val="00A76443"/>
    <w:rsid w:val="00A810BE"/>
    <w:rsid w:val="00A82400"/>
    <w:rsid w:val="00A933AB"/>
    <w:rsid w:val="00A96A4C"/>
    <w:rsid w:val="00AB566F"/>
    <w:rsid w:val="00AC407A"/>
    <w:rsid w:val="00AC5853"/>
    <w:rsid w:val="00AD1B07"/>
    <w:rsid w:val="00AD4FCA"/>
    <w:rsid w:val="00AE19C3"/>
    <w:rsid w:val="00AE21DD"/>
    <w:rsid w:val="00AE529D"/>
    <w:rsid w:val="00AF0A9A"/>
    <w:rsid w:val="00AF5BA0"/>
    <w:rsid w:val="00B03892"/>
    <w:rsid w:val="00B069DE"/>
    <w:rsid w:val="00B13A4B"/>
    <w:rsid w:val="00B16EFB"/>
    <w:rsid w:val="00B174F8"/>
    <w:rsid w:val="00B24662"/>
    <w:rsid w:val="00B333E8"/>
    <w:rsid w:val="00B34C53"/>
    <w:rsid w:val="00B36C8D"/>
    <w:rsid w:val="00B375F6"/>
    <w:rsid w:val="00B45773"/>
    <w:rsid w:val="00B501AB"/>
    <w:rsid w:val="00B56C67"/>
    <w:rsid w:val="00B61956"/>
    <w:rsid w:val="00B769B5"/>
    <w:rsid w:val="00B82AC0"/>
    <w:rsid w:val="00B84647"/>
    <w:rsid w:val="00B847B2"/>
    <w:rsid w:val="00B9320B"/>
    <w:rsid w:val="00B96569"/>
    <w:rsid w:val="00B96BD9"/>
    <w:rsid w:val="00BA43AF"/>
    <w:rsid w:val="00BC39FB"/>
    <w:rsid w:val="00BC4DF6"/>
    <w:rsid w:val="00BC6595"/>
    <w:rsid w:val="00BC69F3"/>
    <w:rsid w:val="00BD139D"/>
    <w:rsid w:val="00BE7FF5"/>
    <w:rsid w:val="00BF1523"/>
    <w:rsid w:val="00BF2086"/>
    <w:rsid w:val="00BF2FF3"/>
    <w:rsid w:val="00BF71B3"/>
    <w:rsid w:val="00BF750F"/>
    <w:rsid w:val="00C00FF2"/>
    <w:rsid w:val="00C14D29"/>
    <w:rsid w:val="00C2085D"/>
    <w:rsid w:val="00C20AD4"/>
    <w:rsid w:val="00C212A0"/>
    <w:rsid w:val="00C21907"/>
    <w:rsid w:val="00C21961"/>
    <w:rsid w:val="00C30BA1"/>
    <w:rsid w:val="00C320FD"/>
    <w:rsid w:val="00C37DDF"/>
    <w:rsid w:val="00C470BD"/>
    <w:rsid w:val="00C50931"/>
    <w:rsid w:val="00C54380"/>
    <w:rsid w:val="00C543F0"/>
    <w:rsid w:val="00C57B34"/>
    <w:rsid w:val="00C813E2"/>
    <w:rsid w:val="00C82B15"/>
    <w:rsid w:val="00C9140E"/>
    <w:rsid w:val="00C92DB0"/>
    <w:rsid w:val="00C93BCB"/>
    <w:rsid w:val="00C95347"/>
    <w:rsid w:val="00C975C0"/>
    <w:rsid w:val="00CA42AD"/>
    <w:rsid w:val="00CA6394"/>
    <w:rsid w:val="00CB01A7"/>
    <w:rsid w:val="00CB22E8"/>
    <w:rsid w:val="00CB6DD9"/>
    <w:rsid w:val="00CC0D99"/>
    <w:rsid w:val="00CC4AFF"/>
    <w:rsid w:val="00CC57F7"/>
    <w:rsid w:val="00CC5CB1"/>
    <w:rsid w:val="00CC7E71"/>
    <w:rsid w:val="00CD05A4"/>
    <w:rsid w:val="00CD19D6"/>
    <w:rsid w:val="00CD3A04"/>
    <w:rsid w:val="00CD6FA9"/>
    <w:rsid w:val="00CE1EA0"/>
    <w:rsid w:val="00CE44EB"/>
    <w:rsid w:val="00CE4F0A"/>
    <w:rsid w:val="00CE5813"/>
    <w:rsid w:val="00CF0095"/>
    <w:rsid w:val="00CF09EB"/>
    <w:rsid w:val="00CF776C"/>
    <w:rsid w:val="00D05514"/>
    <w:rsid w:val="00D07A6E"/>
    <w:rsid w:val="00D113A1"/>
    <w:rsid w:val="00D24D9F"/>
    <w:rsid w:val="00D2602E"/>
    <w:rsid w:val="00D260BF"/>
    <w:rsid w:val="00D260DB"/>
    <w:rsid w:val="00D27F3A"/>
    <w:rsid w:val="00D357BE"/>
    <w:rsid w:val="00D36B90"/>
    <w:rsid w:val="00D537AC"/>
    <w:rsid w:val="00D60BD2"/>
    <w:rsid w:val="00D6475D"/>
    <w:rsid w:val="00D70FDD"/>
    <w:rsid w:val="00D71C9A"/>
    <w:rsid w:val="00D83EF9"/>
    <w:rsid w:val="00DA3B66"/>
    <w:rsid w:val="00DA5D53"/>
    <w:rsid w:val="00DA6E12"/>
    <w:rsid w:val="00DB1A82"/>
    <w:rsid w:val="00DB1E78"/>
    <w:rsid w:val="00DB22DF"/>
    <w:rsid w:val="00DC0107"/>
    <w:rsid w:val="00DD0677"/>
    <w:rsid w:val="00DD39F5"/>
    <w:rsid w:val="00DE0FA5"/>
    <w:rsid w:val="00DE1056"/>
    <w:rsid w:val="00DF417D"/>
    <w:rsid w:val="00DF5C21"/>
    <w:rsid w:val="00E039C6"/>
    <w:rsid w:val="00E07C7B"/>
    <w:rsid w:val="00E123ED"/>
    <w:rsid w:val="00E134FE"/>
    <w:rsid w:val="00E20E0B"/>
    <w:rsid w:val="00E25D80"/>
    <w:rsid w:val="00E34121"/>
    <w:rsid w:val="00E34ABD"/>
    <w:rsid w:val="00E370A4"/>
    <w:rsid w:val="00E408E1"/>
    <w:rsid w:val="00E43010"/>
    <w:rsid w:val="00E472A6"/>
    <w:rsid w:val="00E47A8D"/>
    <w:rsid w:val="00E50008"/>
    <w:rsid w:val="00E55821"/>
    <w:rsid w:val="00E5773B"/>
    <w:rsid w:val="00E57EC3"/>
    <w:rsid w:val="00E64CB1"/>
    <w:rsid w:val="00E74C4A"/>
    <w:rsid w:val="00E83601"/>
    <w:rsid w:val="00E87B58"/>
    <w:rsid w:val="00EA3080"/>
    <w:rsid w:val="00EA62AF"/>
    <w:rsid w:val="00EA7502"/>
    <w:rsid w:val="00EC335F"/>
    <w:rsid w:val="00EC52A2"/>
    <w:rsid w:val="00ED2196"/>
    <w:rsid w:val="00ED3688"/>
    <w:rsid w:val="00EE0B14"/>
    <w:rsid w:val="00EE6C93"/>
    <w:rsid w:val="00EF0C8A"/>
    <w:rsid w:val="00EF22A6"/>
    <w:rsid w:val="00F00156"/>
    <w:rsid w:val="00F00B7F"/>
    <w:rsid w:val="00F074AA"/>
    <w:rsid w:val="00F10F1B"/>
    <w:rsid w:val="00F24D01"/>
    <w:rsid w:val="00F27D0D"/>
    <w:rsid w:val="00F30A47"/>
    <w:rsid w:val="00F324A1"/>
    <w:rsid w:val="00F34897"/>
    <w:rsid w:val="00F40633"/>
    <w:rsid w:val="00F43728"/>
    <w:rsid w:val="00F4706A"/>
    <w:rsid w:val="00F56973"/>
    <w:rsid w:val="00F654C0"/>
    <w:rsid w:val="00F720A1"/>
    <w:rsid w:val="00F72C74"/>
    <w:rsid w:val="00F75039"/>
    <w:rsid w:val="00F91443"/>
    <w:rsid w:val="00F91D3A"/>
    <w:rsid w:val="00F93567"/>
    <w:rsid w:val="00F95DA1"/>
    <w:rsid w:val="00F96A78"/>
    <w:rsid w:val="00F97FE5"/>
    <w:rsid w:val="00FA2ADB"/>
    <w:rsid w:val="00FA6705"/>
    <w:rsid w:val="00FB0C2C"/>
    <w:rsid w:val="00FB63C7"/>
    <w:rsid w:val="00FB6797"/>
    <w:rsid w:val="00FC0A55"/>
    <w:rsid w:val="00FC1B66"/>
    <w:rsid w:val="00FC1C26"/>
    <w:rsid w:val="00FC4BD6"/>
    <w:rsid w:val="00FD2A6C"/>
    <w:rsid w:val="00FD518B"/>
    <w:rsid w:val="00FD54F1"/>
    <w:rsid w:val="00FD6C28"/>
    <w:rsid w:val="00FD7EC2"/>
    <w:rsid w:val="00FE2F6D"/>
    <w:rsid w:val="00FE380A"/>
    <w:rsid w:val="00FE5538"/>
    <w:rsid w:val="00FF29BF"/>
    <w:rsid w:val="00FF4FA1"/>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CA6F76AB-5F9C-410E-866E-4A4D770B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9638B"/>
    <w:pPr>
      <w:spacing w:after="0" w:line="240" w:lineRule="auto"/>
    </w:pPr>
    <w:rPr>
      <w:rFonts w:ascii="Batang" w:eastAsia="Batang" w:hAnsi="Times New Roman" w:cs="Times New Roman"/>
      <w:kern w:val="2"/>
      <w:sz w:val="20"/>
      <w:szCs w:val="24"/>
      <w:lang w:val="en-US" w:eastAsia="ko-KR"/>
    </w:rPr>
  </w:style>
  <w:style w:type="character" w:styleId="BesuchterLink">
    <w:name w:val="FollowedHyperlink"/>
    <w:basedOn w:val="Absatz-Standardschriftart"/>
    <w:uiPriority w:val="99"/>
    <w:semiHidden/>
    <w:unhideWhenUsed/>
    <w:rsid w:val="00BC4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hankooktire.com/kr/company/media-center/press-release.70937.html?act=read&amp;newsCd=&amp;sort=FIRST_REG_DT&amp;div=0&amp;keyword=&amp;newsSeq=70937&amp;topYn=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0D68A-5DAE-406B-8825-0ED6EBA9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3.xml><?xml version="1.0" encoding="utf-8"?>
<ds:datastoreItem xmlns:ds="http://schemas.openxmlformats.org/officeDocument/2006/customXml" ds:itemID="{85DD27C3-617F-4BC5-8325-1E799FF7B335}">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27cf52bf-e367-4710-a567-675a36d23955"/>
    <ds:schemaRef ds:uri="007524c4-875f-4cd1-a63a-56069c46808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6600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10</cp:revision>
  <cp:lastPrinted>2020-01-15T17:34:00Z</cp:lastPrinted>
  <dcterms:created xsi:type="dcterms:W3CDTF">2022-02-04T15:04:00Z</dcterms:created>
  <dcterms:modified xsi:type="dcterms:W3CDTF">2022-02-11T12:55:00Z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