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7C3477" w14:textId="77777777" w:rsidR="00454D84" w:rsidRPr="00FA7CFB" w:rsidRDefault="001205F4" w:rsidP="001C5DF1">
      <w:pPr>
        <w:tabs>
          <w:tab w:val="left" w:pos="142"/>
        </w:tabs>
        <w:spacing w:line="400" w:lineRule="exact"/>
        <w:jc w:val="center"/>
        <w:rPr>
          <w:rFonts w:ascii="Helvetica" w:hAnsi="Helvetica" w:cs="Helvetica"/>
          <w:b/>
          <w:bCs/>
          <w:color w:val="auto"/>
          <w:sz w:val="32"/>
          <w:szCs w:val="32"/>
        </w:rPr>
      </w:pPr>
      <w:r w:rsidRPr="00FA7CFB">
        <w:rPr>
          <w:rFonts w:ascii="Helvetica" w:hAnsi="Helvetica"/>
          <w:b/>
          <w:bCs/>
          <w:color w:val="auto"/>
          <w:sz w:val="32"/>
          <w:szCs w:val="32"/>
        </w:rPr>
        <w:t>Hankook Tire presenta los resultados financieros del segundo trimestre de 2019</w:t>
      </w:r>
    </w:p>
    <w:p w14:paraId="5FF5A62D" w14:textId="77777777" w:rsidR="007757CB" w:rsidRPr="00971191" w:rsidRDefault="007757CB" w:rsidP="00FB6CE7">
      <w:pPr>
        <w:widowControl/>
        <w:suppressAutoHyphens w:val="0"/>
        <w:spacing w:line="276" w:lineRule="auto"/>
        <w:rPr>
          <w:b/>
          <w:bCs/>
          <w:sz w:val="22"/>
          <w:szCs w:val="22"/>
        </w:rPr>
      </w:pPr>
    </w:p>
    <w:p w14:paraId="6DF4EA3B" w14:textId="77777777" w:rsidR="00A40657" w:rsidRPr="00FA7CFB" w:rsidRDefault="00A40657" w:rsidP="00A40657">
      <w:pPr>
        <w:spacing w:line="320" w:lineRule="exact"/>
        <w:rPr>
          <w:b/>
          <w:sz w:val="22"/>
          <w:szCs w:val="22"/>
        </w:rPr>
      </w:pPr>
      <w:bookmarkStart w:id="0" w:name="_Hlk6941758"/>
      <w:r w:rsidRPr="00FA7CFB">
        <w:rPr>
          <w:b/>
          <w:iCs/>
          <w:sz w:val="22"/>
          <w:szCs w:val="22"/>
        </w:rPr>
        <w:t>Para el segundo trimestre de 2019, Hankook Tire informa de unas ventas de 1,74 billones de wons surcoreanos y unos beneficios de explotación de 107 100 millones de wons surcoreanos. Los neumáticos de mayor tamaño, a partir de 18 pulgadas, representan el 54,9 % del total de las ventas. Estas cifras constituyen un incremento de un 2,8 % en comparación con el mismo periodo del año pasado, y fortalecen la imagen de marca de primera calidad de Hankook.</w:t>
      </w:r>
      <w:bookmarkEnd w:id="0"/>
    </w:p>
    <w:p w14:paraId="67CACA20" w14:textId="77777777" w:rsidR="0037607E" w:rsidRPr="00971191" w:rsidRDefault="0037607E" w:rsidP="00FB6CE7">
      <w:pPr>
        <w:widowControl/>
        <w:suppressAutoHyphens w:val="0"/>
        <w:spacing w:line="276" w:lineRule="auto"/>
        <w:rPr>
          <w:sz w:val="22"/>
          <w:szCs w:val="22"/>
        </w:rPr>
      </w:pPr>
    </w:p>
    <w:p w14:paraId="69B90EA8" w14:textId="77777777" w:rsidR="004C6CC8" w:rsidRPr="00FA7CFB" w:rsidRDefault="0005522E" w:rsidP="004C6CC8">
      <w:pPr>
        <w:spacing w:line="276" w:lineRule="auto"/>
        <w:rPr>
          <w:sz w:val="22"/>
          <w:szCs w:val="22"/>
        </w:rPr>
      </w:pPr>
      <w:r w:rsidRPr="00FA7CFB">
        <w:rPr>
          <w:b/>
          <w:i/>
          <w:sz w:val="21"/>
          <w:szCs w:val="21"/>
        </w:rPr>
        <w:t xml:space="preserve">Seúl, Corea / </w:t>
      </w:r>
      <w:r w:rsidRPr="00FA7CFB">
        <w:rPr>
          <w:b/>
          <w:i/>
          <w:sz w:val="22"/>
          <w:szCs w:val="22"/>
        </w:rPr>
        <w:t xml:space="preserve">Neu-Isenburg, Alemania, 2 de agosto de 2019 </w:t>
      </w:r>
      <w:r w:rsidRPr="00FA7CFB">
        <w:rPr>
          <w:sz w:val="22"/>
          <w:szCs w:val="22"/>
        </w:rPr>
        <w:t>– El fabricante de neumáticos líder Hankook Tire ha presentado los resultados financieros de la empresa para el segundo trimestre de 2019 con unas ventas globales consolidadas de 1,74 billones de wons surcoreanos (1</w:t>
      </w:r>
      <w:r w:rsidR="00971191">
        <w:rPr>
          <w:sz w:val="22"/>
          <w:szCs w:val="22"/>
        </w:rPr>
        <w:t>.</w:t>
      </w:r>
      <w:r w:rsidRPr="00FA7CFB">
        <w:rPr>
          <w:sz w:val="22"/>
          <w:szCs w:val="22"/>
        </w:rPr>
        <w:t>330 millones de euros) y unos beneficios de explotación de 107 100 millones de wons surcoreanos (81,8 millones de euros).</w:t>
      </w:r>
    </w:p>
    <w:p w14:paraId="7B74257C" w14:textId="77777777" w:rsidR="004C6CC8" w:rsidRPr="00971191" w:rsidRDefault="004C6CC8" w:rsidP="004C6CC8">
      <w:pPr>
        <w:spacing w:line="276" w:lineRule="auto"/>
        <w:rPr>
          <w:sz w:val="22"/>
          <w:szCs w:val="22"/>
        </w:rPr>
      </w:pPr>
    </w:p>
    <w:p w14:paraId="31CEF9D0" w14:textId="77777777" w:rsidR="004C6CC8" w:rsidRPr="00FA7CFB" w:rsidRDefault="004C6CC8" w:rsidP="004C6CC8">
      <w:pPr>
        <w:spacing w:line="276" w:lineRule="auto"/>
        <w:rPr>
          <w:sz w:val="22"/>
          <w:szCs w:val="22"/>
        </w:rPr>
      </w:pPr>
      <w:r w:rsidRPr="00FA7CFB">
        <w:rPr>
          <w:sz w:val="22"/>
          <w:szCs w:val="22"/>
        </w:rPr>
        <w:t>Las ventas de los neumáticos de mayor tamaño (a partir de 18 pulgadas), impulsadas por la tecnología de primer nivel mundial y la alta calidad del producto, representan el 54,9 % de los neumáticos de turismos, lo que significa un incremento de un 2,8 % en comparación con el mismo periodo del año pasado y, de este modo, se refuerza la imagen de marca de primer nivel de Hankook. La desaceleración del sector del automóvil en todo el mundo ha afectado negativamente a los resultados financieros.</w:t>
      </w:r>
    </w:p>
    <w:p w14:paraId="6C526C76" w14:textId="77777777" w:rsidR="004C6CC8" w:rsidRPr="00971191" w:rsidRDefault="004C6CC8" w:rsidP="004C6CC8">
      <w:pPr>
        <w:spacing w:line="276" w:lineRule="auto"/>
        <w:rPr>
          <w:sz w:val="22"/>
          <w:szCs w:val="22"/>
        </w:rPr>
      </w:pPr>
    </w:p>
    <w:p w14:paraId="3117EB25" w14:textId="77777777" w:rsidR="00E1548E" w:rsidRPr="00FA7CFB" w:rsidRDefault="004C6CC8" w:rsidP="004C6CC8">
      <w:pPr>
        <w:spacing w:line="276" w:lineRule="auto"/>
        <w:rPr>
          <w:sz w:val="22"/>
          <w:szCs w:val="22"/>
        </w:rPr>
      </w:pPr>
      <w:r w:rsidRPr="00FA7CFB">
        <w:rPr>
          <w:sz w:val="22"/>
          <w:szCs w:val="22"/>
        </w:rPr>
        <w:t>Hankook Tire se centra en fortalecer la posición de la empresa como una marca de primer nivel. Por consiguiente, el fabricante de neumáticos ha expandido su presencia en el mercado norteamericano con la estabilización de la planta de Tennessee (EE. UU.), aumentando las ventas de los neumáticos de gran tamaño, a partir de 18 pulgadas, en mercados importantes, y mejorando su imagen de primer nivel ofreciendo neumáticos de equipos originales de alta gama y fortaleciendo la competitividad de sus productos. Hankook Tire también tiene previsto diversificar su cartera de equipos originales para establecer una estructura de crecimiento estable y optimizar las estrategias de distribución de cada región.</w:t>
      </w:r>
    </w:p>
    <w:p w14:paraId="7DA4C314" w14:textId="77777777" w:rsidR="00E65C2B" w:rsidRPr="00971191" w:rsidRDefault="00E65C2B" w:rsidP="004C6CC8">
      <w:pPr>
        <w:spacing w:line="276" w:lineRule="auto"/>
        <w:rPr>
          <w:sz w:val="22"/>
          <w:szCs w:val="22"/>
        </w:rPr>
      </w:pPr>
    </w:p>
    <w:p w14:paraId="34DCD1E6" w14:textId="77777777" w:rsidR="00E65C2B" w:rsidRPr="00FA7CFB" w:rsidRDefault="00E65C2B" w:rsidP="00E65C2B">
      <w:pPr>
        <w:spacing w:line="276" w:lineRule="auto"/>
        <w:jc w:val="center"/>
        <w:rPr>
          <w:sz w:val="22"/>
          <w:szCs w:val="22"/>
        </w:rPr>
      </w:pPr>
      <w:r w:rsidRPr="00FA7CFB">
        <w:rPr>
          <w:sz w:val="22"/>
          <w:szCs w:val="22"/>
        </w:rPr>
        <w:t>###</w:t>
      </w:r>
    </w:p>
    <w:p w14:paraId="5AA077FF" w14:textId="77777777" w:rsidR="00D9739E" w:rsidRDefault="00D9739E" w:rsidP="00D9739E">
      <w:pPr>
        <w:widowControl/>
        <w:jc w:val="left"/>
        <w:rPr>
          <w:rFonts w:asciiTheme="minorBidi" w:hAnsiTheme="minorBidi" w:cstheme="minorBidi"/>
          <w:b/>
          <w:sz w:val="22"/>
          <w:szCs w:val="22"/>
        </w:rPr>
      </w:pPr>
      <w:r>
        <w:rPr>
          <w:rFonts w:asciiTheme="minorBidi" w:hAnsiTheme="minorBidi"/>
          <w:b/>
          <w:sz w:val="22"/>
          <w:szCs w:val="22"/>
        </w:rPr>
        <w:t>Resultado financiero consolidado del 2T de 2019</w:t>
      </w:r>
    </w:p>
    <w:tbl>
      <w:tblPr>
        <w:tblW w:w="904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2"/>
        <w:gridCol w:w="2262"/>
        <w:gridCol w:w="2262"/>
      </w:tblGrid>
      <w:tr w:rsidR="00D9739E" w14:paraId="5A52BB4F" w14:textId="77777777" w:rsidTr="00D9739E">
        <w:trPr>
          <w:trHeight w:val="342"/>
        </w:trPr>
        <w:tc>
          <w:tcPr>
            <w:tcW w:w="2259" w:type="dxa"/>
            <w:tcBorders>
              <w:top w:val="single" w:sz="4" w:space="0" w:color="auto"/>
              <w:left w:val="nil"/>
              <w:bottom w:val="double" w:sz="4" w:space="0" w:color="auto"/>
              <w:right w:val="double" w:sz="4" w:space="0" w:color="auto"/>
            </w:tcBorders>
            <w:shd w:val="clear" w:color="auto" w:fill="7F7F7F"/>
            <w:vAlign w:val="center"/>
            <w:hideMark/>
          </w:tcPr>
          <w:p w14:paraId="5928530B" w14:textId="77777777" w:rsidR="00D9739E" w:rsidRDefault="00D9739E">
            <w:pPr>
              <w:ind w:rightChars="56" w:right="112"/>
              <w:jc w:val="center"/>
              <w:rPr>
                <w:rFonts w:eastAsia="Hankook Regular"/>
                <w:b/>
                <w:color w:val="FFFFFF"/>
                <w:sz w:val="22"/>
                <w:szCs w:val="22"/>
              </w:rPr>
            </w:pPr>
            <w:r>
              <w:rPr>
                <w:b/>
                <w:color w:val="FFFFFF"/>
                <w:sz w:val="22"/>
                <w:szCs w:val="22"/>
              </w:rPr>
              <w:t>(Unidad: miles de millones KRW)</w:t>
            </w:r>
          </w:p>
        </w:tc>
        <w:tc>
          <w:tcPr>
            <w:tcW w:w="2260"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7B06ABED" w14:textId="77777777" w:rsidR="00D9739E" w:rsidRDefault="00D9739E">
            <w:pPr>
              <w:ind w:rightChars="56" w:right="112"/>
              <w:jc w:val="center"/>
              <w:rPr>
                <w:rFonts w:eastAsia="Hankook Regular"/>
                <w:b/>
                <w:color w:val="FFFFFF"/>
                <w:sz w:val="22"/>
                <w:szCs w:val="22"/>
              </w:rPr>
            </w:pPr>
            <w:r>
              <w:rPr>
                <w:b/>
                <w:color w:val="FFFFFF"/>
                <w:sz w:val="22"/>
                <w:szCs w:val="22"/>
              </w:rPr>
              <w:t>2T año fiscal 2018</w:t>
            </w:r>
          </w:p>
        </w:tc>
        <w:tc>
          <w:tcPr>
            <w:tcW w:w="2260"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49FEA89F" w14:textId="77777777" w:rsidR="00D9739E" w:rsidRDefault="00D9739E">
            <w:pPr>
              <w:ind w:rightChars="56" w:right="112"/>
              <w:jc w:val="center"/>
              <w:rPr>
                <w:rFonts w:eastAsia="Hankook Regular"/>
                <w:b/>
                <w:color w:val="FFFFFF"/>
                <w:sz w:val="22"/>
                <w:szCs w:val="22"/>
              </w:rPr>
            </w:pPr>
            <w:r>
              <w:rPr>
                <w:b/>
                <w:color w:val="FFFFFF"/>
                <w:sz w:val="22"/>
                <w:szCs w:val="22"/>
              </w:rPr>
              <w:t>1T año fiscal 2019</w:t>
            </w:r>
          </w:p>
        </w:tc>
        <w:tc>
          <w:tcPr>
            <w:tcW w:w="2260" w:type="dxa"/>
            <w:tcBorders>
              <w:top w:val="single" w:sz="4" w:space="0" w:color="auto"/>
              <w:left w:val="double" w:sz="4" w:space="0" w:color="auto"/>
              <w:bottom w:val="double" w:sz="4" w:space="0" w:color="auto"/>
              <w:right w:val="nil"/>
            </w:tcBorders>
            <w:shd w:val="clear" w:color="auto" w:fill="7F7F7F"/>
            <w:vAlign w:val="center"/>
            <w:hideMark/>
          </w:tcPr>
          <w:p w14:paraId="4997A99D" w14:textId="77777777" w:rsidR="00D9739E" w:rsidRDefault="00D9739E">
            <w:pPr>
              <w:ind w:rightChars="56" w:right="112"/>
              <w:jc w:val="center"/>
              <w:rPr>
                <w:rFonts w:eastAsia="Hankook Regular"/>
                <w:b/>
                <w:color w:val="FFFFFF"/>
                <w:sz w:val="22"/>
                <w:szCs w:val="22"/>
              </w:rPr>
            </w:pPr>
            <w:r>
              <w:rPr>
                <w:b/>
                <w:color w:val="FFFFFF"/>
                <w:sz w:val="22"/>
                <w:szCs w:val="22"/>
              </w:rPr>
              <w:t>2T año fiscal 2019</w:t>
            </w:r>
          </w:p>
        </w:tc>
      </w:tr>
      <w:tr w:rsidR="00D9739E" w14:paraId="433ACB92" w14:textId="77777777" w:rsidTr="00D9739E">
        <w:trPr>
          <w:trHeight w:val="342"/>
        </w:trPr>
        <w:tc>
          <w:tcPr>
            <w:tcW w:w="2259" w:type="dxa"/>
            <w:tcBorders>
              <w:top w:val="double" w:sz="4" w:space="0" w:color="auto"/>
              <w:left w:val="nil"/>
              <w:bottom w:val="single" w:sz="4" w:space="0" w:color="auto"/>
              <w:right w:val="double" w:sz="4" w:space="0" w:color="auto"/>
            </w:tcBorders>
            <w:vAlign w:val="center"/>
            <w:hideMark/>
          </w:tcPr>
          <w:p w14:paraId="32E8A648" w14:textId="77777777" w:rsidR="00D9739E" w:rsidRDefault="00D9739E">
            <w:pPr>
              <w:ind w:rightChars="56" w:right="112"/>
              <w:jc w:val="center"/>
              <w:rPr>
                <w:rFonts w:eastAsia="Hankook Regular"/>
                <w:b/>
                <w:color w:val="000000"/>
                <w:sz w:val="22"/>
                <w:szCs w:val="22"/>
              </w:rPr>
            </w:pPr>
            <w:r>
              <w:rPr>
                <w:b/>
                <w:color w:val="000000"/>
                <w:sz w:val="22"/>
                <w:szCs w:val="22"/>
              </w:rPr>
              <w:t>Ventas</w:t>
            </w:r>
          </w:p>
        </w:tc>
        <w:tc>
          <w:tcPr>
            <w:tcW w:w="2260" w:type="dxa"/>
            <w:tcBorders>
              <w:top w:val="double" w:sz="4" w:space="0" w:color="auto"/>
              <w:left w:val="single" w:sz="4" w:space="0" w:color="auto"/>
              <w:bottom w:val="single" w:sz="4" w:space="0" w:color="auto"/>
              <w:right w:val="double" w:sz="4" w:space="0" w:color="auto"/>
            </w:tcBorders>
            <w:vAlign w:val="center"/>
            <w:hideMark/>
          </w:tcPr>
          <w:p w14:paraId="223FF72B" w14:textId="77777777" w:rsidR="00D9739E" w:rsidRDefault="00D9739E">
            <w:pPr>
              <w:jc w:val="center"/>
              <w:rPr>
                <w:rFonts w:eastAsia="Hankook Regular"/>
                <w:b/>
                <w:sz w:val="22"/>
                <w:szCs w:val="22"/>
              </w:rPr>
            </w:pPr>
            <w:r>
              <w:rPr>
                <w:b/>
                <w:sz w:val="22"/>
                <w:szCs w:val="22"/>
              </w:rPr>
              <w:t>1705,3</w:t>
            </w:r>
          </w:p>
        </w:tc>
        <w:tc>
          <w:tcPr>
            <w:tcW w:w="2260" w:type="dxa"/>
            <w:tcBorders>
              <w:top w:val="double" w:sz="4" w:space="0" w:color="auto"/>
              <w:left w:val="single" w:sz="4" w:space="0" w:color="auto"/>
              <w:bottom w:val="single" w:sz="4" w:space="0" w:color="auto"/>
              <w:right w:val="double" w:sz="4" w:space="0" w:color="auto"/>
            </w:tcBorders>
            <w:vAlign w:val="center"/>
            <w:hideMark/>
          </w:tcPr>
          <w:p w14:paraId="0AF9EC63" w14:textId="77777777" w:rsidR="00D9739E" w:rsidRDefault="00D9739E">
            <w:pPr>
              <w:jc w:val="center"/>
              <w:rPr>
                <w:rFonts w:eastAsia="Hankook Regular"/>
                <w:b/>
                <w:sz w:val="22"/>
                <w:szCs w:val="22"/>
              </w:rPr>
            </w:pPr>
            <w:r>
              <w:rPr>
                <w:b/>
                <w:sz w:val="22"/>
                <w:szCs w:val="22"/>
              </w:rPr>
              <w:t>1642,4</w:t>
            </w:r>
          </w:p>
        </w:tc>
        <w:tc>
          <w:tcPr>
            <w:tcW w:w="2260" w:type="dxa"/>
            <w:tcBorders>
              <w:top w:val="double" w:sz="4" w:space="0" w:color="auto"/>
              <w:left w:val="double" w:sz="4" w:space="0" w:color="auto"/>
              <w:bottom w:val="single" w:sz="4" w:space="0" w:color="auto"/>
              <w:right w:val="nil"/>
            </w:tcBorders>
            <w:vAlign w:val="center"/>
            <w:hideMark/>
          </w:tcPr>
          <w:p w14:paraId="30EE5B8C" w14:textId="77777777" w:rsidR="00D9739E" w:rsidRDefault="00D9739E">
            <w:pPr>
              <w:jc w:val="center"/>
              <w:rPr>
                <w:rFonts w:eastAsia="Hankook Regular"/>
                <w:b/>
                <w:sz w:val="22"/>
                <w:szCs w:val="22"/>
              </w:rPr>
            </w:pPr>
            <w:r>
              <w:rPr>
                <w:b/>
                <w:sz w:val="22"/>
                <w:szCs w:val="22"/>
              </w:rPr>
              <w:t>1741,8</w:t>
            </w:r>
          </w:p>
        </w:tc>
      </w:tr>
      <w:tr w:rsidR="00D9739E" w14:paraId="00220DDA" w14:textId="77777777" w:rsidTr="00D9739E">
        <w:trPr>
          <w:trHeight w:val="342"/>
        </w:trPr>
        <w:tc>
          <w:tcPr>
            <w:tcW w:w="2259" w:type="dxa"/>
            <w:tcBorders>
              <w:top w:val="single" w:sz="4" w:space="0" w:color="auto"/>
              <w:left w:val="nil"/>
              <w:bottom w:val="single" w:sz="4" w:space="0" w:color="auto"/>
              <w:right w:val="double" w:sz="4" w:space="0" w:color="auto"/>
            </w:tcBorders>
            <w:vAlign w:val="center"/>
            <w:hideMark/>
          </w:tcPr>
          <w:p w14:paraId="41A08558" w14:textId="77777777" w:rsidR="00D9739E" w:rsidRDefault="00D9739E">
            <w:pPr>
              <w:ind w:rightChars="56" w:right="112"/>
              <w:jc w:val="center"/>
              <w:rPr>
                <w:rFonts w:eastAsia="Hankook Regular"/>
                <w:b/>
                <w:color w:val="000000"/>
                <w:sz w:val="22"/>
                <w:szCs w:val="22"/>
              </w:rPr>
            </w:pPr>
            <w:r>
              <w:rPr>
                <w:b/>
                <w:color w:val="000000"/>
                <w:sz w:val="22"/>
                <w:szCs w:val="22"/>
              </w:rPr>
              <w:t>Beneficios de explotación</w:t>
            </w:r>
          </w:p>
        </w:tc>
        <w:tc>
          <w:tcPr>
            <w:tcW w:w="2260" w:type="dxa"/>
            <w:tcBorders>
              <w:top w:val="single" w:sz="4" w:space="0" w:color="auto"/>
              <w:left w:val="single" w:sz="4" w:space="0" w:color="auto"/>
              <w:bottom w:val="single" w:sz="4" w:space="0" w:color="auto"/>
              <w:right w:val="double" w:sz="4" w:space="0" w:color="auto"/>
            </w:tcBorders>
            <w:vAlign w:val="center"/>
            <w:hideMark/>
          </w:tcPr>
          <w:p w14:paraId="46284AA0" w14:textId="77777777" w:rsidR="00D9739E" w:rsidRDefault="00D9739E">
            <w:pPr>
              <w:jc w:val="center"/>
              <w:rPr>
                <w:rFonts w:eastAsia="Hankook Regular"/>
                <w:b/>
                <w:sz w:val="22"/>
                <w:szCs w:val="22"/>
              </w:rPr>
            </w:pPr>
            <w:r>
              <w:rPr>
                <w:b/>
                <w:sz w:val="22"/>
                <w:szCs w:val="22"/>
              </w:rPr>
              <w:t>185,2</w:t>
            </w:r>
          </w:p>
        </w:tc>
        <w:tc>
          <w:tcPr>
            <w:tcW w:w="2260" w:type="dxa"/>
            <w:tcBorders>
              <w:top w:val="single" w:sz="4" w:space="0" w:color="auto"/>
              <w:left w:val="single" w:sz="4" w:space="0" w:color="auto"/>
              <w:bottom w:val="single" w:sz="4" w:space="0" w:color="auto"/>
              <w:right w:val="double" w:sz="4" w:space="0" w:color="auto"/>
            </w:tcBorders>
            <w:vAlign w:val="center"/>
            <w:hideMark/>
          </w:tcPr>
          <w:p w14:paraId="12C3A4CF" w14:textId="77777777" w:rsidR="00D9739E" w:rsidRDefault="00D9739E">
            <w:pPr>
              <w:jc w:val="center"/>
              <w:rPr>
                <w:rFonts w:eastAsia="Hankook Regular"/>
                <w:b/>
                <w:sz w:val="22"/>
                <w:szCs w:val="22"/>
              </w:rPr>
            </w:pPr>
            <w:r>
              <w:rPr>
                <w:b/>
                <w:sz w:val="22"/>
                <w:szCs w:val="22"/>
              </w:rPr>
              <w:t>140,6</w:t>
            </w:r>
          </w:p>
        </w:tc>
        <w:tc>
          <w:tcPr>
            <w:tcW w:w="2260" w:type="dxa"/>
            <w:tcBorders>
              <w:top w:val="single" w:sz="4" w:space="0" w:color="auto"/>
              <w:left w:val="double" w:sz="4" w:space="0" w:color="auto"/>
              <w:bottom w:val="single" w:sz="4" w:space="0" w:color="auto"/>
              <w:right w:val="nil"/>
            </w:tcBorders>
            <w:vAlign w:val="center"/>
            <w:hideMark/>
          </w:tcPr>
          <w:p w14:paraId="76965404" w14:textId="77777777" w:rsidR="00D9739E" w:rsidRDefault="00D9739E">
            <w:pPr>
              <w:jc w:val="center"/>
              <w:rPr>
                <w:rFonts w:eastAsia="Hankook Regular"/>
                <w:b/>
                <w:sz w:val="22"/>
                <w:szCs w:val="22"/>
              </w:rPr>
            </w:pPr>
            <w:r>
              <w:rPr>
                <w:b/>
                <w:sz w:val="22"/>
                <w:szCs w:val="22"/>
              </w:rPr>
              <w:t>107,1</w:t>
            </w:r>
          </w:p>
        </w:tc>
      </w:tr>
    </w:tbl>
    <w:p w14:paraId="357A02FE" w14:textId="77777777" w:rsidR="00D9739E" w:rsidRDefault="00D9739E" w:rsidP="00D9739E">
      <w:pPr>
        <w:rPr>
          <w:rFonts w:eastAsia="Batang"/>
          <w:color w:val="000000"/>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9739E" w14:paraId="36AA33FE" w14:textId="77777777" w:rsidTr="00D9739E">
        <w:trPr>
          <w:trHeight w:val="363"/>
        </w:trPr>
        <w:tc>
          <w:tcPr>
            <w:tcW w:w="2235" w:type="dxa"/>
            <w:tcBorders>
              <w:top w:val="single" w:sz="4" w:space="0" w:color="auto"/>
              <w:left w:val="nil"/>
              <w:bottom w:val="double" w:sz="4" w:space="0" w:color="auto"/>
              <w:right w:val="double" w:sz="4" w:space="0" w:color="auto"/>
            </w:tcBorders>
            <w:shd w:val="clear" w:color="auto" w:fill="7F7F7F"/>
            <w:vAlign w:val="center"/>
            <w:hideMark/>
          </w:tcPr>
          <w:p w14:paraId="24D196DB" w14:textId="77777777" w:rsidR="00D9739E" w:rsidRDefault="00D9739E">
            <w:pPr>
              <w:ind w:rightChars="56" w:right="112"/>
              <w:jc w:val="center"/>
              <w:rPr>
                <w:rFonts w:eastAsia="Hankook Regular"/>
                <w:b/>
                <w:color w:val="FFFFFF"/>
                <w:sz w:val="22"/>
                <w:szCs w:val="22"/>
              </w:rPr>
            </w:pPr>
            <w:r>
              <w:rPr>
                <w:b/>
                <w:color w:val="FFFFFF"/>
                <w:sz w:val="22"/>
                <w:szCs w:val="22"/>
              </w:rPr>
              <w:t>(Unidad: millones USD)</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1795037D" w14:textId="77777777" w:rsidR="00D9739E" w:rsidRDefault="00D9739E">
            <w:pPr>
              <w:ind w:rightChars="56" w:right="112"/>
              <w:jc w:val="center"/>
              <w:rPr>
                <w:rFonts w:eastAsia="Hankook Regular"/>
                <w:b/>
                <w:color w:val="FFFFFF"/>
                <w:sz w:val="22"/>
                <w:szCs w:val="22"/>
              </w:rPr>
            </w:pPr>
            <w:r>
              <w:rPr>
                <w:b/>
                <w:color w:val="FFFFFF"/>
                <w:sz w:val="22"/>
                <w:szCs w:val="22"/>
              </w:rPr>
              <w:t>2T año fiscal 2018</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4AB3812A" w14:textId="77777777" w:rsidR="00D9739E" w:rsidRDefault="00D9739E">
            <w:pPr>
              <w:ind w:rightChars="56" w:right="112"/>
              <w:jc w:val="center"/>
              <w:rPr>
                <w:rFonts w:eastAsia="Hankook Regular"/>
                <w:b/>
                <w:color w:val="FFFFFF"/>
                <w:sz w:val="22"/>
                <w:szCs w:val="22"/>
              </w:rPr>
            </w:pPr>
            <w:r>
              <w:rPr>
                <w:b/>
                <w:color w:val="FFFFFF"/>
                <w:sz w:val="22"/>
                <w:szCs w:val="22"/>
              </w:rPr>
              <w:t>1T año fiscal 2019</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636F0F48" w14:textId="77777777" w:rsidR="00D9739E" w:rsidRDefault="00D9739E">
            <w:pPr>
              <w:ind w:rightChars="56" w:right="112"/>
              <w:jc w:val="center"/>
              <w:rPr>
                <w:rFonts w:eastAsia="Hankook Regular"/>
                <w:b/>
                <w:color w:val="FFFFFF"/>
                <w:sz w:val="22"/>
                <w:szCs w:val="22"/>
              </w:rPr>
            </w:pPr>
            <w:r>
              <w:rPr>
                <w:b/>
                <w:color w:val="FFFFFF"/>
                <w:sz w:val="22"/>
                <w:szCs w:val="22"/>
              </w:rPr>
              <w:t>2T año fiscal 2019</w:t>
            </w:r>
          </w:p>
        </w:tc>
      </w:tr>
      <w:tr w:rsidR="00D9739E" w14:paraId="349FA7DF" w14:textId="77777777" w:rsidTr="00D9739E">
        <w:trPr>
          <w:trHeight w:val="363"/>
        </w:trPr>
        <w:tc>
          <w:tcPr>
            <w:tcW w:w="2235" w:type="dxa"/>
            <w:tcBorders>
              <w:top w:val="double" w:sz="4" w:space="0" w:color="auto"/>
              <w:left w:val="nil"/>
              <w:bottom w:val="single" w:sz="4" w:space="0" w:color="auto"/>
              <w:right w:val="double" w:sz="4" w:space="0" w:color="auto"/>
            </w:tcBorders>
            <w:vAlign w:val="center"/>
            <w:hideMark/>
          </w:tcPr>
          <w:p w14:paraId="3A997443" w14:textId="77777777" w:rsidR="00D9739E" w:rsidRDefault="00D9739E">
            <w:pPr>
              <w:ind w:rightChars="56" w:right="112"/>
              <w:jc w:val="center"/>
              <w:rPr>
                <w:rFonts w:eastAsia="Hankook Regular"/>
                <w:b/>
                <w:sz w:val="22"/>
                <w:szCs w:val="22"/>
              </w:rPr>
            </w:pPr>
            <w:r>
              <w:rPr>
                <w:b/>
                <w:sz w:val="22"/>
                <w:szCs w:val="22"/>
              </w:rPr>
              <w:t>Ventas</w:t>
            </w:r>
          </w:p>
        </w:tc>
        <w:tc>
          <w:tcPr>
            <w:tcW w:w="2268" w:type="dxa"/>
            <w:tcBorders>
              <w:top w:val="double" w:sz="4" w:space="0" w:color="auto"/>
              <w:left w:val="double" w:sz="4" w:space="0" w:color="auto"/>
              <w:bottom w:val="single" w:sz="4" w:space="0" w:color="auto"/>
              <w:right w:val="double" w:sz="4" w:space="0" w:color="auto"/>
            </w:tcBorders>
            <w:hideMark/>
          </w:tcPr>
          <w:p w14:paraId="2C0DF1C7" w14:textId="77777777" w:rsidR="00D9739E" w:rsidRDefault="00D9739E">
            <w:pPr>
              <w:jc w:val="center"/>
              <w:rPr>
                <w:rFonts w:eastAsia="Hankook Regular"/>
                <w:b/>
                <w:sz w:val="22"/>
                <w:szCs w:val="22"/>
              </w:rPr>
            </w:pPr>
            <w:r>
              <w:rPr>
                <w:b/>
                <w:sz w:val="22"/>
                <w:szCs w:val="22"/>
              </w:rPr>
              <w:t xml:space="preserve"> 1581,1 </w:t>
            </w:r>
          </w:p>
        </w:tc>
        <w:tc>
          <w:tcPr>
            <w:tcW w:w="2268" w:type="dxa"/>
            <w:tcBorders>
              <w:top w:val="double" w:sz="4" w:space="0" w:color="auto"/>
              <w:left w:val="double" w:sz="4" w:space="0" w:color="auto"/>
              <w:bottom w:val="single" w:sz="4" w:space="0" w:color="auto"/>
              <w:right w:val="double" w:sz="4" w:space="0" w:color="auto"/>
            </w:tcBorders>
            <w:hideMark/>
          </w:tcPr>
          <w:p w14:paraId="2E01250D" w14:textId="77777777" w:rsidR="00D9739E" w:rsidRDefault="00D9739E">
            <w:pPr>
              <w:jc w:val="center"/>
              <w:rPr>
                <w:rFonts w:eastAsia="Hankook Regular"/>
                <w:b/>
                <w:sz w:val="22"/>
                <w:szCs w:val="22"/>
              </w:rPr>
            </w:pPr>
            <w:r>
              <w:rPr>
                <w:b/>
                <w:sz w:val="22"/>
                <w:szCs w:val="22"/>
              </w:rPr>
              <w:t xml:space="preserve"> 1459,8 </w:t>
            </w:r>
          </w:p>
        </w:tc>
        <w:tc>
          <w:tcPr>
            <w:tcW w:w="2268" w:type="dxa"/>
            <w:tcBorders>
              <w:top w:val="double" w:sz="4" w:space="0" w:color="auto"/>
              <w:left w:val="double" w:sz="4" w:space="0" w:color="auto"/>
              <w:bottom w:val="single" w:sz="4" w:space="0" w:color="auto"/>
              <w:right w:val="nil"/>
            </w:tcBorders>
            <w:shd w:val="clear" w:color="auto" w:fill="FFFFFF"/>
            <w:hideMark/>
          </w:tcPr>
          <w:p w14:paraId="7CF741AE" w14:textId="77777777" w:rsidR="00D9739E" w:rsidRDefault="00D9739E">
            <w:pPr>
              <w:jc w:val="center"/>
              <w:rPr>
                <w:rFonts w:eastAsia="Hankook Regular"/>
                <w:b/>
                <w:sz w:val="22"/>
                <w:szCs w:val="22"/>
              </w:rPr>
            </w:pPr>
            <w:r>
              <w:rPr>
                <w:b/>
                <w:sz w:val="22"/>
                <w:szCs w:val="22"/>
              </w:rPr>
              <w:t xml:space="preserve"> 1493,9 </w:t>
            </w:r>
          </w:p>
        </w:tc>
      </w:tr>
      <w:tr w:rsidR="00D9739E" w14:paraId="75E32B52" w14:textId="77777777" w:rsidTr="00D9739E">
        <w:trPr>
          <w:trHeight w:val="363"/>
        </w:trPr>
        <w:tc>
          <w:tcPr>
            <w:tcW w:w="2235" w:type="dxa"/>
            <w:tcBorders>
              <w:top w:val="single" w:sz="4" w:space="0" w:color="auto"/>
              <w:left w:val="nil"/>
              <w:bottom w:val="single" w:sz="4" w:space="0" w:color="auto"/>
              <w:right w:val="double" w:sz="4" w:space="0" w:color="auto"/>
            </w:tcBorders>
            <w:vAlign w:val="center"/>
            <w:hideMark/>
          </w:tcPr>
          <w:p w14:paraId="6BF7F2FF" w14:textId="77777777" w:rsidR="00D9739E" w:rsidRDefault="00D9739E">
            <w:pPr>
              <w:ind w:rightChars="56" w:right="112"/>
              <w:jc w:val="center"/>
              <w:rPr>
                <w:rFonts w:eastAsia="Hankook Regular"/>
                <w:b/>
                <w:sz w:val="22"/>
                <w:szCs w:val="22"/>
              </w:rPr>
            </w:pPr>
            <w:r>
              <w:rPr>
                <w:b/>
                <w:sz w:val="22"/>
                <w:szCs w:val="22"/>
              </w:rPr>
              <w:t>Beneficios de explotación</w:t>
            </w:r>
          </w:p>
        </w:tc>
        <w:tc>
          <w:tcPr>
            <w:tcW w:w="2268" w:type="dxa"/>
            <w:tcBorders>
              <w:top w:val="single" w:sz="4" w:space="0" w:color="auto"/>
              <w:left w:val="double" w:sz="4" w:space="0" w:color="auto"/>
              <w:bottom w:val="single" w:sz="4" w:space="0" w:color="auto"/>
              <w:right w:val="double" w:sz="4" w:space="0" w:color="auto"/>
            </w:tcBorders>
            <w:hideMark/>
          </w:tcPr>
          <w:p w14:paraId="22320A70" w14:textId="77777777" w:rsidR="00D9739E" w:rsidRDefault="00D9739E">
            <w:pPr>
              <w:jc w:val="center"/>
              <w:rPr>
                <w:rFonts w:eastAsia="Hankook Regular"/>
                <w:b/>
                <w:sz w:val="22"/>
                <w:szCs w:val="22"/>
              </w:rPr>
            </w:pPr>
            <w:r>
              <w:rPr>
                <w:b/>
                <w:sz w:val="22"/>
                <w:szCs w:val="22"/>
              </w:rPr>
              <w:t xml:space="preserve"> 171,7 </w:t>
            </w:r>
          </w:p>
        </w:tc>
        <w:tc>
          <w:tcPr>
            <w:tcW w:w="2268" w:type="dxa"/>
            <w:tcBorders>
              <w:top w:val="single" w:sz="4" w:space="0" w:color="auto"/>
              <w:left w:val="double" w:sz="4" w:space="0" w:color="auto"/>
              <w:bottom w:val="single" w:sz="4" w:space="0" w:color="auto"/>
              <w:right w:val="double" w:sz="4" w:space="0" w:color="auto"/>
            </w:tcBorders>
            <w:hideMark/>
          </w:tcPr>
          <w:p w14:paraId="74C73071" w14:textId="77777777" w:rsidR="00D9739E" w:rsidRDefault="00D9739E">
            <w:pPr>
              <w:jc w:val="center"/>
              <w:rPr>
                <w:rFonts w:eastAsia="Hankook Regular"/>
                <w:b/>
                <w:sz w:val="22"/>
                <w:szCs w:val="22"/>
              </w:rPr>
            </w:pPr>
            <w:r>
              <w:rPr>
                <w:b/>
                <w:sz w:val="22"/>
                <w:szCs w:val="22"/>
              </w:rPr>
              <w:t xml:space="preserve"> 125,0 </w:t>
            </w:r>
          </w:p>
        </w:tc>
        <w:tc>
          <w:tcPr>
            <w:tcW w:w="2268" w:type="dxa"/>
            <w:tcBorders>
              <w:top w:val="single" w:sz="4" w:space="0" w:color="auto"/>
              <w:left w:val="double" w:sz="4" w:space="0" w:color="auto"/>
              <w:bottom w:val="single" w:sz="4" w:space="0" w:color="auto"/>
              <w:right w:val="nil"/>
            </w:tcBorders>
            <w:shd w:val="clear" w:color="auto" w:fill="FFFFFF"/>
            <w:hideMark/>
          </w:tcPr>
          <w:p w14:paraId="189A6360" w14:textId="77777777" w:rsidR="00D9739E" w:rsidRDefault="00D9739E">
            <w:pPr>
              <w:jc w:val="center"/>
              <w:rPr>
                <w:rFonts w:eastAsia="Hankook Regular"/>
                <w:b/>
                <w:sz w:val="22"/>
                <w:szCs w:val="22"/>
              </w:rPr>
            </w:pPr>
            <w:r>
              <w:rPr>
                <w:b/>
                <w:sz w:val="22"/>
                <w:szCs w:val="22"/>
              </w:rPr>
              <w:t xml:space="preserve"> 91,9 </w:t>
            </w:r>
          </w:p>
        </w:tc>
      </w:tr>
    </w:tbl>
    <w:p w14:paraId="2701D3A3" w14:textId="77777777" w:rsidR="00D9739E" w:rsidRDefault="00D9739E" w:rsidP="00D9739E">
      <w:pPr>
        <w:rPr>
          <w:rFonts w:eastAsia="Hankook Regular"/>
          <w:color w:val="FFFFFF"/>
          <w:sz w:val="22"/>
          <w:szCs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9739E" w14:paraId="2F48628F" w14:textId="77777777" w:rsidTr="00D9739E">
        <w:trPr>
          <w:trHeight w:val="363"/>
        </w:trPr>
        <w:tc>
          <w:tcPr>
            <w:tcW w:w="2235" w:type="dxa"/>
            <w:tcBorders>
              <w:top w:val="nil"/>
              <w:left w:val="nil"/>
              <w:bottom w:val="double" w:sz="4" w:space="0" w:color="auto"/>
              <w:right w:val="double" w:sz="4" w:space="0" w:color="auto"/>
            </w:tcBorders>
            <w:shd w:val="clear" w:color="auto" w:fill="7F7F7F"/>
            <w:vAlign w:val="center"/>
            <w:hideMark/>
          </w:tcPr>
          <w:p w14:paraId="0C20EEF5" w14:textId="77777777" w:rsidR="00D9739E" w:rsidRDefault="00D9739E">
            <w:pPr>
              <w:ind w:rightChars="56" w:right="112"/>
              <w:jc w:val="center"/>
              <w:rPr>
                <w:rFonts w:eastAsia="Hankook Regular"/>
                <w:b/>
                <w:color w:val="FFFFFF"/>
                <w:sz w:val="22"/>
                <w:szCs w:val="22"/>
              </w:rPr>
            </w:pPr>
            <w:r>
              <w:rPr>
                <w:b/>
                <w:color w:val="FFFFFF"/>
                <w:sz w:val="22"/>
                <w:szCs w:val="22"/>
              </w:rPr>
              <w:t>(Unidad: millones EUR)</w:t>
            </w:r>
          </w:p>
        </w:tc>
        <w:tc>
          <w:tcPr>
            <w:tcW w:w="2268" w:type="dxa"/>
            <w:tcBorders>
              <w:top w:val="nil"/>
              <w:left w:val="double" w:sz="4" w:space="0" w:color="auto"/>
              <w:bottom w:val="double" w:sz="4" w:space="0" w:color="auto"/>
              <w:right w:val="double" w:sz="4" w:space="0" w:color="auto"/>
            </w:tcBorders>
            <w:shd w:val="clear" w:color="auto" w:fill="7F7F7F"/>
            <w:vAlign w:val="center"/>
            <w:hideMark/>
          </w:tcPr>
          <w:p w14:paraId="667BDF34" w14:textId="77777777" w:rsidR="00D9739E" w:rsidRDefault="00D9739E">
            <w:pPr>
              <w:ind w:rightChars="56" w:right="112"/>
              <w:jc w:val="center"/>
              <w:rPr>
                <w:rFonts w:eastAsia="Hankook Regular"/>
                <w:b/>
                <w:color w:val="FFFFFF"/>
                <w:sz w:val="22"/>
                <w:szCs w:val="22"/>
              </w:rPr>
            </w:pPr>
            <w:r>
              <w:rPr>
                <w:b/>
                <w:color w:val="FFFFFF"/>
                <w:sz w:val="22"/>
                <w:szCs w:val="22"/>
              </w:rPr>
              <w:t>2T año fiscal 2018</w:t>
            </w:r>
          </w:p>
        </w:tc>
        <w:tc>
          <w:tcPr>
            <w:tcW w:w="2268" w:type="dxa"/>
            <w:tcBorders>
              <w:top w:val="nil"/>
              <w:left w:val="double" w:sz="4" w:space="0" w:color="auto"/>
              <w:bottom w:val="double" w:sz="4" w:space="0" w:color="auto"/>
              <w:right w:val="double" w:sz="4" w:space="0" w:color="auto"/>
            </w:tcBorders>
            <w:shd w:val="clear" w:color="auto" w:fill="7F7F7F"/>
            <w:vAlign w:val="center"/>
            <w:hideMark/>
          </w:tcPr>
          <w:p w14:paraId="392EC28E" w14:textId="77777777" w:rsidR="00D9739E" w:rsidRDefault="00D9739E">
            <w:pPr>
              <w:ind w:rightChars="56" w:right="112"/>
              <w:jc w:val="center"/>
              <w:rPr>
                <w:rFonts w:eastAsia="Hankook Regular"/>
                <w:b/>
                <w:color w:val="FFFFFF"/>
                <w:sz w:val="22"/>
                <w:szCs w:val="22"/>
              </w:rPr>
            </w:pPr>
            <w:r>
              <w:rPr>
                <w:b/>
                <w:color w:val="FFFFFF"/>
                <w:sz w:val="22"/>
                <w:szCs w:val="22"/>
              </w:rPr>
              <w:t>1T año fiscal 2019</w:t>
            </w:r>
          </w:p>
        </w:tc>
        <w:tc>
          <w:tcPr>
            <w:tcW w:w="2268" w:type="dxa"/>
            <w:tcBorders>
              <w:top w:val="nil"/>
              <w:left w:val="double" w:sz="4" w:space="0" w:color="auto"/>
              <w:bottom w:val="double" w:sz="4" w:space="0" w:color="auto"/>
              <w:right w:val="nil"/>
            </w:tcBorders>
            <w:shd w:val="clear" w:color="auto" w:fill="7F7F7F"/>
            <w:vAlign w:val="center"/>
            <w:hideMark/>
          </w:tcPr>
          <w:p w14:paraId="51EA944E" w14:textId="77777777" w:rsidR="00D9739E" w:rsidRDefault="00D9739E">
            <w:pPr>
              <w:ind w:rightChars="56" w:right="112"/>
              <w:jc w:val="center"/>
              <w:rPr>
                <w:rFonts w:eastAsia="Hankook Regular"/>
                <w:b/>
                <w:color w:val="FFFFFF"/>
                <w:sz w:val="22"/>
                <w:szCs w:val="22"/>
              </w:rPr>
            </w:pPr>
            <w:r>
              <w:rPr>
                <w:b/>
                <w:color w:val="FFFFFF"/>
                <w:sz w:val="22"/>
                <w:szCs w:val="22"/>
              </w:rPr>
              <w:t>2T año fiscal 2019</w:t>
            </w:r>
          </w:p>
        </w:tc>
      </w:tr>
      <w:tr w:rsidR="00D9739E" w14:paraId="38F27738" w14:textId="77777777" w:rsidTr="00D9739E">
        <w:trPr>
          <w:trHeight w:val="363"/>
        </w:trPr>
        <w:tc>
          <w:tcPr>
            <w:tcW w:w="2235" w:type="dxa"/>
            <w:tcBorders>
              <w:top w:val="double" w:sz="4" w:space="0" w:color="auto"/>
              <w:left w:val="nil"/>
              <w:bottom w:val="single" w:sz="4" w:space="0" w:color="auto"/>
              <w:right w:val="double" w:sz="4" w:space="0" w:color="auto"/>
            </w:tcBorders>
            <w:vAlign w:val="center"/>
            <w:hideMark/>
          </w:tcPr>
          <w:p w14:paraId="06F9C2D9" w14:textId="77777777" w:rsidR="00D9739E" w:rsidRDefault="00D9739E">
            <w:pPr>
              <w:ind w:rightChars="56" w:right="112"/>
              <w:jc w:val="center"/>
              <w:rPr>
                <w:rFonts w:eastAsia="Hankook Regular"/>
                <w:b/>
                <w:sz w:val="22"/>
                <w:szCs w:val="22"/>
              </w:rPr>
            </w:pPr>
            <w:r>
              <w:rPr>
                <w:b/>
                <w:sz w:val="22"/>
                <w:szCs w:val="22"/>
              </w:rPr>
              <w:t>Ventas</w:t>
            </w:r>
          </w:p>
        </w:tc>
        <w:tc>
          <w:tcPr>
            <w:tcW w:w="2268" w:type="dxa"/>
            <w:tcBorders>
              <w:top w:val="double" w:sz="4" w:space="0" w:color="auto"/>
              <w:left w:val="double" w:sz="4" w:space="0" w:color="auto"/>
              <w:bottom w:val="single" w:sz="4" w:space="0" w:color="auto"/>
              <w:right w:val="double" w:sz="4" w:space="0" w:color="auto"/>
            </w:tcBorders>
            <w:hideMark/>
          </w:tcPr>
          <w:p w14:paraId="36B4A978" w14:textId="77777777" w:rsidR="00D9739E" w:rsidRDefault="00D9739E">
            <w:pPr>
              <w:jc w:val="center"/>
              <w:rPr>
                <w:rFonts w:eastAsia="Hankook Regular"/>
                <w:b/>
                <w:sz w:val="22"/>
                <w:szCs w:val="22"/>
              </w:rPr>
            </w:pPr>
            <w:r>
              <w:rPr>
                <w:b/>
                <w:sz w:val="22"/>
                <w:szCs w:val="22"/>
              </w:rPr>
              <w:t xml:space="preserve"> 1325,2 </w:t>
            </w:r>
          </w:p>
        </w:tc>
        <w:tc>
          <w:tcPr>
            <w:tcW w:w="2268" w:type="dxa"/>
            <w:tcBorders>
              <w:top w:val="double" w:sz="4" w:space="0" w:color="auto"/>
              <w:left w:val="double" w:sz="4" w:space="0" w:color="auto"/>
              <w:bottom w:val="single" w:sz="4" w:space="0" w:color="auto"/>
              <w:right w:val="double" w:sz="4" w:space="0" w:color="auto"/>
            </w:tcBorders>
            <w:hideMark/>
          </w:tcPr>
          <w:p w14:paraId="4BD621A2" w14:textId="77777777" w:rsidR="00D9739E" w:rsidRDefault="00D9739E">
            <w:pPr>
              <w:jc w:val="center"/>
              <w:rPr>
                <w:rFonts w:eastAsia="Hankook Regular"/>
                <w:b/>
                <w:sz w:val="22"/>
                <w:szCs w:val="22"/>
              </w:rPr>
            </w:pPr>
            <w:r>
              <w:rPr>
                <w:b/>
                <w:sz w:val="22"/>
                <w:szCs w:val="22"/>
              </w:rPr>
              <w:t xml:space="preserve"> 1285,3 </w:t>
            </w:r>
          </w:p>
        </w:tc>
        <w:tc>
          <w:tcPr>
            <w:tcW w:w="2268" w:type="dxa"/>
            <w:tcBorders>
              <w:top w:val="double" w:sz="4" w:space="0" w:color="auto"/>
              <w:left w:val="double" w:sz="4" w:space="0" w:color="auto"/>
              <w:bottom w:val="single" w:sz="4" w:space="0" w:color="auto"/>
              <w:right w:val="nil"/>
            </w:tcBorders>
            <w:shd w:val="clear" w:color="auto" w:fill="FFFFFF"/>
            <w:hideMark/>
          </w:tcPr>
          <w:p w14:paraId="70D510CD" w14:textId="11A3D492" w:rsidR="00D9739E" w:rsidRDefault="00D9739E">
            <w:pPr>
              <w:jc w:val="center"/>
              <w:rPr>
                <w:rFonts w:eastAsia="Hankook Regular"/>
                <w:b/>
                <w:sz w:val="22"/>
                <w:szCs w:val="22"/>
              </w:rPr>
            </w:pPr>
            <w:r>
              <w:rPr>
                <w:b/>
                <w:sz w:val="22"/>
                <w:szCs w:val="22"/>
              </w:rPr>
              <w:t xml:space="preserve"> 1329,</w:t>
            </w:r>
            <w:r>
              <w:rPr>
                <w:b/>
                <w:sz w:val="22"/>
                <w:szCs w:val="22"/>
              </w:rPr>
              <w:t>8</w:t>
            </w:r>
            <w:bookmarkStart w:id="1" w:name="_GoBack"/>
            <w:bookmarkEnd w:id="1"/>
            <w:r>
              <w:rPr>
                <w:b/>
                <w:sz w:val="22"/>
                <w:szCs w:val="22"/>
              </w:rPr>
              <w:t xml:space="preserve"> </w:t>
            </w:r>
          </w:p>
        </w:tc>
      </w:tr>
      <w:tr w:rsidR="00D9739E" w14:paraId="2D0852B4" w14:textId="77777777" w:rsidTr="00D9739E">
        <w:trPr>
          <w:trHeight w:val="363"/>
        </w:trPr>
        <w:tc>
          <w:tcPr>
            <w:tcW w:w="2235" w:type="dxa"/>
            <w:tcBorders>
              <w:top w:val="single" w:sz="4" w:space="0" w:color="auto"/>
              <w:left w:val="nil"/>
              <w:bottom w:val="single" w:sz="4" w:space="0" w:color="auto"/>
              <w:right w:val="double" w:sz="4" w:space="0" w:color="auto"/>
            </w:tcBorders>
            <w:vAlign w:val="center"/>
            <w:hideMark/>
          </w:tcPr>
          <w:p w14:paraId="48D464CD" w14:textId="77777777" w:rsidR="00D9739E" w:rsidRDefault="00D9739E">
            <w:pPr>
              <w:ind w:rightChars="56" w:right="112"/>
              <w:jc w:val="center"/>
              <w:rPr>
                <w:rFonts w:eastAsia="Hankook Regular"/>
                <w:b/>
                <w:sz w:val="22"/>
                <w:szCs w:val="22"/>
              </w:rPr>
            </w:pPr>
            <w:r>
              <w:rPr>
                <w:b/>
                <w:sz w:val="22"/>
                <w:szCs w:val="22"/>
              </w:rPr>
              <w:t>Beneficios de explotación</w:t>
            </w:r>
          </w:p>
        </w:tc>
        <w:tc>
          <w:tcPr>
            <w:tcW w:w="2268" w:type="dxa"/>
            <w:tcBorders>
              <w:top w:val="single" w:sz="4" w:space="0" w:color="auto"/>
              <w:left w:val="double" w:sz="4" w:space="0" w:color="auto"/>
              <w:bottom w:val="single" w:sz="4" w:space="0" w:color="auto"/>
              <w:right w:val="double" w:sz="4" w:space="0" w:color="auto"/>
            </w:tcBorders>
            <w:hideMark/>
          </w:tcPr>
          <w:p w14:paraId="172BF4ED" w14:textId="77777777" w:rsidR="00D9739E" w:rsidRDefault="00D9739E">
            <w:pPr>
              <w:jc w:val="center"/>
              <w:rPr>
                <w:rFonts w:eastAsia="Hankook Regular"/>
                <w:b/>
                <w:sz w:val="22"/>
                <w:szCs w:val="22"/>
              </w:rPr>
            </w:pPr>
            <w:r>
              <w:rPr>
                <w:b/>
                <w:sz w:val="22"/>
                <w:szCs w:val="22"/>
              </w:rPr>
              <w:t xml:space="preserve"> 143,9 </w:t>
            </w:r>
          </w:p>
        </w:tc>
        <w:tc>
          <w:tcPr>
            <w:tcW w:w="2268" w:type="dxa"/>
            <w:tcBorders>
              <w:top w:val="single" w:sz="4" w:space="0" w:color="auto"/>
              <w:left w:val="double" w:sz="4" w:space="0" w:color="auto"/>
              <w:bottom w:val="single" w:sz="4" w:space="0" w:color="auto"/>
              <w:right w:val="double" w:sz="4" w:space="0" w:color="auto"/>
            </w:tcBorders>
            <w:hideMark/>
          </w:tcPr>
          <w:p w14:paraId="0C5FE385" w14:textId="77777777" w:rsidR="00D9739E" w:rsidRDefault="00D9739E">
            <w:pPr>
              <w:jc w:val="center"/>
              <w:rPr>
                <w:rFonts w:eastAsia="Hankook Regular"/>
                <w:b/>
                <w:sz w:val="22"/>
                <w:szCs w:val="22"/>
              </w:rPr>
            </w:pPr>
            <w:r>
              <w:rPr>
                <w:b/>
                <w:sz w:val="22"/>
                <w:szCs w:val="22"/>
              </w:rPr>
              <w:t xml:space="preserve"> 110,0 </w:t>
            </w:r>
          </w:p>
        </w:tc>
        <w:tc>
          <w:tcPr>
            <w:tcW w:w="2268" w:type="dxa"/>
            <w:tcBorders>
              <w:top w:val="single" w:sz="4" w:space="0" w:color="auto"/>
              <w:left w:val="double" w:sz="4" w:space="0" w:color="auto"/>
              <w:bottom w:val="single" w:sz="4" w:space="0" w:color="auto"/>
              <w:right w:val="nil"/>
            </w:tcBorders>
            <w:shd w:val="clear" w:color="auto" w:fill="FFFFFF"/>
            <w:hideMark/>
          </w:tcPr>
          <w:p w14:paraId="55A81A5D" w14:textId="77777777" w:rsidR="00D9739E" w:rsidRDefault="00D9739E">
            <w:pPr>
              <w:jc w:val="center"/>
              <w:rPr>
                <w:rFonts w:eastAsia="Hankook Regular"/>
                <w:b/>
                <w:sz w:val="22"/>
                <w:szCs w:val="22"/>
              </w:rPr>
            </w:pPr>
            <w:r>
              <w:rPr>
                <w:b/>
                <w:sz w:val="22"/>
                <w:szCs w:val="22"/>
              </w:rPr>
              <w:t xml:space="preserve"> 81,8 </w:t>
            </w:r>
          </w:p>
        </w:tc>
      </w:tr>
    </w:tbl>
    <w:p w14:paraId="335992F7" w14:textId="77777777" w:rsidR="00D9739E" w:rsidRDefault="00D9739E" w:rsidP="00D9739E">
      <w:pPr>
        <w:snapToGrid w:val="0"/>
        <w:ind w:rightChars="56" w:right="112"/>
        <w:rPr>
          <w:rFonts w:eastAsia="Hankook Regular"/>
          <w:b/>
          <w:i/>
          <w:sz w:val="22"/>
          <w:szCs w:val="22"/>
        </w:rPr>
      </w:pPr>
    </w:p>
    <w:p w14:paraId="0E67E3D4" w14:textId="77777777" w:rsidR="00D9739E" w:rsidRDefault="00D9739E" w:rsidP="00D9739E">
      <w:pPr>
        <w:snapToGrid w:val="0"/>
        <w:ind w:leftChars="71" w:left="142" w:rightChars="56" w:right="112"/>
        <w:rPr>
          <w:rFonts w:eastAsia="Hankook Regular"/>
          <w:b/>
          <w:i/>
          <w:sz w:val="22"/>
          <w:szCs w:val="22"/>
        </w:rPr>
      </w:pPr>
      <w:r>
        <w:rPr>
          <w:b/>
          <w:i/>
          <w:sz w:val="22"/>
          <w:szCs w:val="22"/>
        </w:rPr>
        <w:lastRenderedPageBreak/>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9739E" w14:paraId="54E53D96" w14:textId="77777777" w:rsidTr="00D9739E">
        <w:trPr>
          <w:trHeight w:val="363"/>
        </w:trPr>
        <w:tc>
          <w:tcPr>
            <w:tcW w:w="2235" w:type="dxa"/>
            <w:tcBorders>
              <w:top w:val="single" w:sz="4" w:space="0" w:color="auto"/>
              <w:left w:val="nil"/>
              <w:bottom w:val="double" w:sz="4" w:space="0" w:color="auto"/>
              <w:right w:val="double" w:sz="4" w:space="0" w:color="auto"/>
            </w:tcBorders>
            <w:shd w:val="clear" w:color="auto" w:fill="7F7F7F"/>
            <w:vAlign w:val="center"/>
          </w:tcPr>
          <w:p w14:paraId="429BE42D" w14:textId="77777777" w:rsidR="00D9739E" w:rsidRDefault="00D9739E">
            <w:pPr>
              <w:ind w:rightChars="56" w:right="112"/>
              <w:jc w:val="center"/>
              <w:rPr>
                <w:rFonts w:eastAsia="Hankook Regular"/>
                <w:b/>
                <w:sz w:val="22"/>
                <w:szCs w:val="22"/>
              </w:rPr>
            </w:pP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718D79F9" w14:textId="77777777" w:rsidR="00D9739E" w:rsidRDefault="00D9739E">
            <w:pPr>
              <w:ind w:rightChars="56" w:right="112"/>
              <w:jc w:val="center"/>
              <w:rPr>
                <w:rFonts w:eastAsia="Hankook Regular"/>
                <w:b/>
                <w:color w:val="FFFFFF"/>
                <w:sz w:val="22"/>
                <w:szCs w:val="22"/>
              </w:rPr>
            </w:pPr>
            <w:r>
              <w:rPr>
                <w:b/>
                <w:color w:val="FFFFFF"/>
                <w:sz w:val="22"/>
                <w:szCs w:val="22"/>
              </w:rPr>
              <w:t>2T año fiscal 2018</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5B8D2750" w14:textId="77777777" w:rsidR="00D9739E" w:rsidRDefault="00D9739E">
            <w:pPr>
              <w:ind w:rightChars="56" w:right="112"/>
              <w:jc w:val="center"/>
              <w:rPr>
                <w:rFonts w:eastAsia="Hankook Regular"/>
                <w:b/>
                <w:color w:val="FFFFFF"/>
                <w:sz w:val="22"/>
                <w:szCs w:val="22"/>
              </w:rPr>
            </w:pPr>
            <w:r>
              <w:rPr>
                <w:b/>
                <w:color w:val="FFFFFF"/>
                <w:sz w:val="22"/>
                <w:szCs w:val="22"/>
              </w:rPr>
              <w:t>1T año fiscal 2019</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512A0A98" w14:textId="77777777" w:rsidR="00D9739E" w:rsidRDefault="00D9739E">
            <w:pPr>
              <w:ind w:rightChars="56" w:right="112"/>
              <w:jc w:val="center"/>
              <w:rPr>
                <w:rFonts w:eastAsia="Hankook Regular"/>
                <w:b/>
                <w:color w:val="FFFFFF"/>
                <w:sz w:val="22"/>
                <w:szCs w:val="22"/>
              </w:rPr>
            </w:pPr>
            <w:r>
              <w:rPr>
                <w:b/>
                <w:color w:val="FFFFFF"/>
                <w:sz w:val="22"/>
                <w:szCs w:val="22"/>
              </w:rPr>
              <w:t>2T año fiscal 2019</w:t>
            </w:r>
          </w:p>
        </w:tc>
      </w:tr>
      <w:tr w:rsidR="00D9739E" w14:paraId="10E2F9B9" w14:textId="77777777" w:rsidTr="00D9739E">
        <w:trPr>
          <w:trHeight w:val="363"/>
        </w:trPr>
        <w:tc>
          <w:tcPr>
            <w:tcW w:w="2235" w:type="dxa"/>
            <w:tcBorders>
              <w:top w:val="double" w:sz="4" w:space="0" w:color="auto"/>
              <w:left w:val="nil"/>
              <w:bottom w:val="single" w:sz="4" w:space="0" w:color="auto"/>
              <w:right w:val="double" w:sz="4" w:space="0" w:color="auto"/>
            </w:tcBorders>
            <w:vAlign w:val="center"/>
            <w:hideMark/>
          </w:tcPr>
          <w:p w14:paraId="7978918F" w14:textId="77777777" w:rsidR="00D9739E" w:rsidRDefault="00D9739E">
            <w:pPr>
              <w:ind w:rightChars="56" w:right="112"/>
              <w:jc w:val="center"/>
              <w:rPr>
                <w:rFonts w:eastAsia="Hankook Regular"/>
                <w:b/>
                <w:sz w:val="22"/>
                <w:szCs w:val="22"/>
              </w:rPr>
            </w:pPr>
            <w:r>
              <w:rPr>
                <w:b/>
                <w:sz w:val="22"/>
                <w:szCs w:val="22"/>
              </w:rPr>
              <w:t>USD/KRW</w:t>
            </w:r>
          </w:p>
        </w:tc>
        <w:tc>
          <w:tcPr>
            <w:tcW w:w="2268" w:type="dxa"/>
            <w:tcBorders>
              <w:top w:val="double" w:sz="4" w:space="0" w:color="auto"/>
              <w:left w:val="single" w:sz="4" w:space="0" w:color="auto"/>
              <w:bottom w:val="single" w:sz="4" w:space="0" w:color="auto"/>
              <w:right w:val="double" w:sz="4" w:space="0" w:color="auto"/>
            </w:tcBorders>
            <w:hideMark/>
          </w:tcPr>
          <w:p w14:paraId="217514A3" w14:textId="77777777" w:rsidR="00D9739E" w:rsidRDefault="00D9739E">
            <w:pPr>
              <w:jc w:val="center"/>
              <w:rPr>
                <w:rFonts w:eastAsia="Hankook Regular"/>
                <w:b/>
                <w:sz w:val="22"/>
                <w:szCs w:val="22"/>
              </w:rPr>
            </w:pPr>
            <w:r>
              <w:rPr>
                <w:b/>
                <w:sz w:val="22"/>
                <w:szCs w:val="22"/>
              </w:rPr>
              <w:t xml:space="preserve"> 1078,57 </w:t>
            </w:r>
          </w:p>
        </w:tc>
        <w:tc>
          <w:tcPr>
            <w:tcW w:w="2268" w:type="dxa"/>
            <w:tcBorders>
              <w:top w:val="double" w:sz="4" w:space="0" w:color="auto"/>
              <w:left w:val="double" w:sz="4" w:space="0" w:color="auto"/>
              <w:bottom w:val="single" w:sz="4" w:space="0" w:color="auto"/>
              <w:right w:val="double" w:sz="4" w:space="0" w:color="auto"/>
            </w:tcBorders>
            <w:hideMark/>
          </w:tcPr>
          <w:p w14:paraId="23A56418" w14:textId="77777777" w:rsidR="00D9739E" w:rsidRDefault="00D9739E">
            <w:pPr>
              <w:jc w:val="center"/>
              <w:rPr>
                <w:rFonts w:eastAsia="Hankook Regular"/>
                <w:b/>
                <w:sz w:val="22"/>
                <w:szCs w:val="22"/>
              </w:rPr>
            </w:pPr>
            <w:r>
              <w:rPr>
                <w:b/>
                <w:sz w:val="22"/>
                <w:szCs w:val="22"/>
              </w:rPr>
              <w:t xml:space="preserve"> 1125,08 </w:t>
            </w:r>
          </w:p>
        </w:tc>
        <w:tc>
          <w:tcPr>
            <w:tcW w:w="2268" w:type="dxa"/>
            <w:tcBorders>
              <w:top w:val="double" w:sz="4" w:space="0" w:color="auto"/>
              <w:left w:val="double" w:sz="4" w:space="0" w:color="auto"/>
              <w:bottom w:val="single" w:sz="4" w:space="0" w:color="auto"/>
              <w:right w:val="nil"/>
            </w:tcBorders>
            <w:hideMark/>
          </w:tcPr>
          <w:p w14:paraId="1AFDAD03" w14:textId="77777777" w:rsidR="00D9739E" w:rsidRDefault="00D9739E">
            <w:pPr>
              <w:jc w:val="center"/>
              <w:rPr>
                <w:rFonts w:eastAsia="Hankook Regular"/>
                <w:b/>
                <w:sz w:val="22"/>
                <w:szCs w:val="22"/>
              </w:rPr>
            </w:pPr>
            <w:r>
              <w:rPr>
                <w:b/>
                <w:sz w:val="22"/>
                <w:szCs w:val="22"/>
              </w:rPr>
              <w:t xml:space="preserve"> 1165,91 </w:t>
            </w:r>
          </w:p>
        </w:tc>
      </w:tr>
      <w:tr w:rsidR="00D9739E" w14:paraId="17DD1195" w14:textId="77777777" w:rsidTr="00D9739E">
        <w:trPr>
          <w:trHeight w:val="363"/>
        </w:trPr>
        <w:tc>
          <w:tcPr>
            <w:tcW w:w="2235" w:type="dxa"/>
            <w:tcBorders>
              <w:top w:val="single" w:sz="4" w:space="0" w:color="auto"/>
              <w:left w:val="nil"/>
              <w:bottom w:val="single" w:sz="4" w:space="0" w:color="auto"/>
              <w:right w:val="double" w:sz="4" w:space="0" w:color="auto"/>
            </w:tcBorders>
            <w:vAlign w:val="center"/>
            <w:hideMark/>
          </w:tcPr>
          <w:p w14:paraId="6E92F96F" w14:textId="77777777" w:rsidR="00D9739E" w:rsidRDefault="00D9739E">
            <w:pPr>
              <w:ind w:rightChars="56" w:right="112"/>
              <w:jc w:val="center"/>
              <w:rPr>
                <w:rFonts w:eastAsia="Hankook Regular"/>
                <w:b/>
                <w:sz w:val="22"/>
                <w:szCs w:val="22"/>
              </w:rPr>
            </w:pPr>
            <w:r>
              <w:rPr>
                <w:b/>
                <w:sz w:val="22"/>
                <w:szCs w:val="22"/>
              </w:rPr>
              <w:t>EUR/KRW</w:t>
            </w:r>
          </w:p>
        </w:tc>
        <w:tc>
          <w:tcPr>
            <w:tcW w:w="2268" w:type="dxa"/>
            <w:tcBorders>
              <w:top w:val="single" w:sz="4" w:space="0" w:color="auto"/>
              <w:left w:val="single" w:sz="4" w:space="0" w:color="auto"/>
              <w:bottom w:val="single" w:sz="4" w:space="0" w:color="auto"/>
              <w:right w:val="double" w:sz="4" w:space="0" w:color="auto"/>
            </w:tcBorders>
            <w:hideMark/>
          </w:tcPr>
          <w:p w14:paraId="1777FF41" w14:textId="77777777" w:rsidR="00D9739E" w:rsidRDefault="00D9739E">
            <w:pPr>
              <w:jc w:val="center"/>
              <w:rPr>
                <w:rFonts w:eastAsia="Hankook Regular"/>
                <w:b/>
                <w:sz w:val="22"/>
                <w:szCs w:val="22"/>
              </w:rPr>
            </w:pPr>
            <w:r>
              <w:rPr>
                <w:b/>
                <w:sz w:val="22"/>
                <w:szCs w:val="22"/>
              </w:rPr>
              <w:t xml:space="preserve"> 1286,84 </w:t>
            </w:r>
          </w:p>
        </w:tc>
        <w:tc>
          <w:tcPr>
            <w:tcW w:w="2268" w:type="dxa"/>
            <w:tcBorders>
              <w:top w:val="single" w:sz="4" w:space="0" w:color="auto"/>
              <w:left w:val="double" w:sz="4" w:space="0" w:color="auto"/>
              <w:bottom w:val="single" w:sz="4" w:space="0" w:color="auto"/>
              <w:right w:val="double" w:sz="4" w:space="0" w:color="auto"/>
            </w:tcBorders>
            <w:hideMark/>
          </w:tcPr>
          <w:p w14:paraId="718811B0" w14:textId="77777777" w:rsidR="00D9739E" w:rsidRDefault="00D9739E">
            <w:pPr>
              <w:jc w:val="center"/>
              <w:rPr>
                <w:rFonts w:eastAsia="Hankook Regular"/>
                <w:b/>
                <w:sz w:val="22"/>
                <w:szCs w:val="22"/>
              </w:rPr>
            </w:pPr>
            <w:r>
              <w:rPr>
                <w:b/>
                <w:sz w:val="22"/>
                <w:szCs w:val="22"/>
              </w:rPr>
              <w:t xml:space="preserve"> 1277,88 </w:t>
            </w:r>
          </w:p>
        </w:tc>
        <w:tc>
          <w:tcPr>
            <w:tcW w:w="2268" w:type="dxa"/>
            <w:tcBorders>
              <w:top w:val="single" w:sz="4" w:space="0" w:color="auto"/>
              <w:left w:val="double" w:sz="4" w:space="0" w:color="auto"/>
              <w:bottom w:val="single" w:sz="4" w:space="0" w:color="auto"/>
              <w:right w:val="nil"/>
            </w:tcBorders>
            <w:hideMark/>
          </w:tcPr>
          <w:p w14:paraId="0C1B8C2B" w14:textId="77777777" w:rsidR="00D9739E" w:rsidRDefault="00D9739E">
            <w:pPr>
              <w:jc w:val="center"/>
              <w:rPr>
                <w:rFonts w:eastAsia="Hankook Regular"/>
                <w:b/>
                <w:sz w:val="22"/>
                <w:szCs w:val="22"/>
              </w:rPr>
            </w:pPr>
            <w:r>
              <w:rPr>
                <w:b/>
                <w:sz w:val="22"/>
                <w:szCs w:val="22"/>
              </w:rPr>
              <w:t xml:space="preserve"> 1309,91 </w:t>
            </w:r>
          </w:p>
        </w:tc>
      </w:tr>
    </w:tbl>
    <w:p w14:paraId="16F8514E" w14:textId="77777777" w:rsidR="00D9739E" w:rsidRDefault="00D9739E" w:rsidP="00D9739E">
      <w:pPr>
        <w:spacing w:line="320" w:lineRule="exact"/>
        <w:rPr>
          <w:b/>
          <w:sz w:val="21"/>
        </w:rPr>
      </w:pPr>
    </w:p>
    <w:p w14:paraId="1F66E3DC" w14:textId="77777777" w:rsidR="001C5DF1" w:rsidRPr="00955946" w:rsidRDefault="001C5DF1" w:rsidP="001C5DF1">
      <w:pPr>
        <w:spacing w:line="320" w:lineRule="exact"/>
        <w:rPr>
          <w:b/>
          <w:bCs/>
          <w:sz w:val="21"/>
          <w:szCs w:val="21"/>
        </w:rPr>
      </w:pPr>
      <w:r w:rsidRPr="00955946">
        <w:rPr>
          <w:b/>
          <w:sz w:val="21"/>
        </w:rPr>
        <w:t>Sobre Hankook</w:t>
      </w:r>
    </w:p>
    <w:p w14:paraId="4940362E" w14:textId="77777777" w:rsidR="001C5DF1" w:rsidRPr="00955946" w:rsidRDefault="001C5DF1" w:rsidP="001C5DF1">
      <w:pPr>
        <w:spacing w:line="320" w:lineRule="exact"/>
        <w:rPr>
          <w:b/>
          <w:bCs/>
          <w:sz w:val="21"/>
          <w:szCs w:val="21"/>
        </w:rPr>
      </w:pPr>
    </w:p>
    <w:p w14:paraId="3F6B5296" w14:textId="77777777" w:rsidR="001C5DF1" w:rsidRPr="004466D6" w:rsidRDefault="001C5DF1" w:rsidP="001C5DF1">
      <w:pPr>
        <w:spacing w:line="320" w:lineRule="exact"/>
        <w:rPr>
          <w:sz w:val="21"/>
        </w:rPr>
      </w:pPr>
      <w:r w:rsidRPr="004466D6">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134C1019" w14:textId="77777777" w:rsidR="001C5DF1" w:rsidRPr="004466D6" w:rsidRDefault="001C5DF1" w:rsidP="001C5DF1">
      <w:pPr>
        <w:spacing w:line="320" w:lineRule="exact"/>
        <w:rPr>
          <w:sz w:val="21"/>
        </w:rPr>
      </w:pPr>
    </w:p>
    <w:p w14:paraId="68124D1F" w14:textId="77777777" w:rsidR="001C5DF1" w:rsidRPr="004466D6" w:rsidRDefault="001C5DF1" w:rsidP="001C5DF1">
      <w:pPr>
        <w:spacing w:line="320" w:lineRule="exact"/>
        <w:rPr>
          <w:sz w:val="21"/>
        </w:rPr>
      </w:pPr>
      <w:r w:rsidRPr="004466D6">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21258763" w14:textId="77777777" w:rsidR="001C5DF1" w:rsidRPr="004466D6" w:rsidRDefault="001C5DF1" w:rsidP="001C5DF1">
      <w:pPr>
        <w:spacing w:line="320" w:lineRule="exact"/>
        <w:rPr>
          <w:sz w:val="21"/>
        </w:rPr>
      </w:pPr>
    </w:p>
    <w:p w14:paraId="37C7B4BC" w14:textId="77777777" w:rsidR="001C5DF1" w:rsidRPr="004466D6" w:rsidRDefault="001C5DF1" w:rsidP="001C5DF1">
      <w:pPr>
        <w:spacing w:line="320" w:lineRule="exact"/>
        <w:rPr>
          <w:sz w:val="21"/>
        </w:rPr>
      </w:pPr>
      <w:r w:rsidRPr="004466D6">
        <w:rPr>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036D6CFD" w14:textId="77777777" w:rsidR="001C5DF1" w:rsidRPr="004466D6" w:rsidRDefault="001C5DF1" w:rsidP="001C5DF1">
      <w:pPr>
        <w:spacing w:line="320" w:lineRule="exact"/>
        <w:rPr>
          <w:sz w:val="21"/>
        </w:rPr>
      </w:pPr>
    </w:p>
    <w:p w14:paraId="17FACD7A" w14:textId="77777777" w:rsidR="001C5DF1" w:rsidRPr="004466D6" w:rsidRDefault="001C5DF1" w:rsidP="001C5DF1">
      <w:pPr>
        <w:spacing w:line="320" w:lineRule="exact"/>
        <w:rPr>
          <w:sz w:val="21"/>
        </w:rPr>
      </w:pPr>
      <w:r w:rsidRPr="004466D6">
        <w:rPr>
          <w:sz w:val="21"/>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w:t>
      </w:r>
      <w:r>
        <w:rPr>
          <w:sz w:val="21"/>
        </w:rPr>
        <w:t>1</w:t>
      </w:r>
      <w:r w:rsidRPr="004466D6">
        <w:rPr>
          <w:sz w:val="21"/>
        </w:rPr>
        <w:t>.000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14:paraId="0BA97134" w14:textId="77777777" w:rsidR="001C5DF1" w:rsidRPr="004466D6" w:rsidRDefault="001C5DF1" w:rsidP="001C5DF1">
      <w:pPr>
        <w:spacing w:line="320" w:lineRule="exact"/>
        <w:rPr>
          <w:sz w:val="21"/>
        </w:rPr>
      </w:pPr>
    </w:p>
    <w:p w14:paraId="7E688DFC" w14:textId="77777777" w:rsidR="0081547E" w:rsidRPr="001C5DF1" w:rsidRDefault="001C5DF1" w:rsidP="0081547E">
      <w:pPr>
        <w:spacing w:line="320" w:lineRule="exact"/>
        <w:rPr>
          <w:sz w:val="21"/>
        </w:rPr>
      </w:pPr>
      <w:r w:rsidRPr="004466D6">
        <w:rPr>
          <w:sz w:val="21"/>
        </w:rPr>
        <w:t xml:space="preserve">Para más información visite nuestra página web </w:t>
      </w:r>
      <w:hyperlink r:id="rId10" w:history="1">
        <w:r w:rsidRPr="00165121">
          <w:rPr>
            <w:rStyle w:val="Hyperlink"/>
            <w:sz w:val="21"/>
          </w:rPr>
          <w:t>www.hankooktire-mediacenter.com</w:t>
        </w:r>
      </w:hyperlink>
      <w:r>
        <w:rPr>
          <w:sz w:val="21"/>
        </w:rPr>
        <w:t xml:space="preserve"> </w:t>
      </w:r>
      <w:r w:rsidRPr="004466D6">
        <w:rPr>
          <w:sz w:val="21"/>
        </w:rPr>
        <w:t xml:space="preserve">o </w:t>
      </w:r>
      <w:hyperlink r:id="rId11" w:history="1">
        <w:r w:rsidRPr="00165121">
          <w:rPr>
            <w:rStyle w:val="Hyperlink"/>
            <w:sz w:val="21"/>
          </w:rPr>
          <w:t>www.hankooktire.com/es</w:t>
        </w:r>
      </w:hyperlink>
      <w:r>
        <w:rPr>
          <w:sz w:val="21"/>
        </w:rPr>
        <w:t xml:space="preserve"> </w:t>
      </w:r>
    </w:p>
    <w:p w14:paraId="0C1C024C" w14:textId="77777777" w:rsidR="007E6B52" w:rsidRPr="001C5DF1" w:rsidRDefault="0081547E" w:rsidP="001C5DF1">
      <w:pPr>
        <w:spacing w:line="320" w:lineRule="exact"/>
        <w:rPr>
          <w:sz w:val="21"/>
        </w:rPr>
      </w:pPr>
      <w:r w:rsidRPr="001C5DF1">
        <w:rPr>
          <w:sz w:val="21"/>
        </w:rPr>
        <w:t xml:space="preserve"> </w:t>
      </w: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FA7CFB" w14:paraId="2BA978F5" w14:textId="77777777" w:rsidTr="005E0B6F">
        <w:tc>
          <w:tcPr>
            <w:tcW w:w="9687" w:type="dxa"/>
            <w:gridSpan w:val="4"/>
            <w:shd w:val="clear" w:color="auto" w:fill="F2F2F2"/>
          </w:tcPr>
          <w:p w14:paraId="2990D9EE" w14:textId="77777777" w:rsidR="00652152" w:rsidRPr="00971191" w:rsidRDefault="00652152" w:rsidP="0081547E">
            <w:pPr>
              <w:spacing w:line="320" w:lineRule="exact"/>
              <w:ind w:left="142" w:rightChars="56" w:right="112"/>
              <w:rPr>
                <w:b/>
                <w:bCs/>
                <w:sz w:val="21"/>
                <w:szCs w:val="21"/>
                <w:u w:val="single"/>
                <w:lang w:val="en-US"/>
              </w:rPr>
            </w:pPr>
            <w:r w:rsidRPr="00FA7CFB">
              <w:rPr>
                <w:b/>
                <w:bCs/>
                <w:sz w:val="21"/>
                <w:szCs w:val="21"/>
                <w:u w:val="single"/>
                <w:lang w:val="fr-FR"/>
              </w:rPr>
              <w:t>Contact:</w:t>
            </w:r>
          </w:p>
          <w:p w14:paraId="35053B68" w14:textId="77777777" w:rsidR="00652152" w:rsidRPr="00FA7CFB" w:rsidRDefault="00652152" w:rsidP="0081547E">
            <w:pPr>
              <w:spacing w:line="320" w:lineRule="exact"/>
              <w:ind w:left="142" w:rightChars="56" w:right="112"/>
              <w:rPr>
                <w:sz w:val="16"/>
                <w:szCs w:val="16"/>
              </w:rPr>
            </w:pPr>
            <w:r w:rsidRPr="00FA7CFB">
              <w:rPr>
                <w:b/>
                <w:bCs/>
                <w:sz w:val="16"/>
                <w:szCs w:val="16"/>
                <w:lang w:val="fr-FR"/>
              </w:rPr>
              <w:t xml:space="preserve">Hankook Tire Europe GmbH | </w:t>
            </w:r>
            <w:r w:rsidRPr="00FA7CFB">
              <w:rPr>
                <w:bCs/>
                <w:sz w:val="16"/>
                <w:szCs w:val="16"/>
                <w:lang w:val="fr-FR"/>
              </w:rPr>
              <w:t>Corporate Communications Europe/CIS</w:t>
            </w:r>
            <w:r w:rsidRPr="00FA7CFB">
              <w:rPr>
                <w:b/>
                <w:bCs/>
                <w:sz w:val="16"/>
                <w:szCs w:val="16"/>
                <w:lang w:val="fr-FR"/>
              </w:rPr>
              <w:t xml:space="preserve"> | </w:t>
            </w:r>
            <w:r w:rsidRPr="00FA7CFB">
              <w:rPr>
                <w:sz w:val="16"/>
                <w:szCs w:val="16"/>
                <w:lang w:val="fr-FR"/>
              </w:rPr>
              <w:t xml:space="preserve">Siemensstr. </w:t>
            </w:r>
            <w:r w:rsidRPr="00FA7CFB">
              <w:rPr>
                <w:sz w:val="16"/>
                <w:szCs w:val="16"/>
                <w:lang w:val="en-GB"/>
              </w:rPr>
              <w:t>14, 63263 Neu-Isenburg</w:t>
            </w:r>
            <w:r w:rsidRPr="00FA7CFB">
              <w:rPr>
                <w:b/>
                <w:bCs/>
                <w:sz w:val="16"/>
                <w:szCs w:val="16"/>
                <w:lang w:val="en-GB"/>
              </w:rPr>
              <w:t xml:space="preserve"> | </w:t>
            </w:r>
            <w:r w:rsidRPr="00FA7CFB">
              <w:rPr>
                <w:sz w:val="16"/>
                <w:szCs w:val="16"/>
                <w:lang w:val="en-GB"/>
              </w:rPr>
              <w:t>Deutschland</w:t>
            </w:r>
          </w:p>
          <w:p w14:paraId="24C4C43F" w14:textId="77777777" w:rsidR="00652152" w:rsidRPr="00FA7CFB" w:rsidRDefault="00652152" w:rsidP="0081547E">
            <w:pPr>
              <w:spacing w:line="200" w:lineRule="exact"/>
              <w:ind w:left="142" w:rightChars="56" w:right="112"/>
              <w:rPr>
                <w:sz w:val="21"/>
                <w:szCs w:val="21"/>
                <w:u w:val="single"/>
                <w:lang w:val="en-GB"/>
              </w:rPr>
            </w:pPr>
          </w:p>
        </w:tc>
      </w:tr>
      <w:tr w:rsidR="00652152" w:rsidRPr="00FA7CFB" w14:paraId="541A940F" w14:textId="77777777" w:rsidTr="005E0B6F">
        <w:tc>
          <w:tcPr>
            <w:tcW w:w="2688" w:type="dxa"/>
            <w:shd w:val="clear" w:color="auto" w:fill="F2F2F2"/>
          </w:tcPr>
          <w:p w14:paraId="1F922134" w14:textId="77777777" w:rsidR="00652152" w:rsidRPr="00FA7CFB" w:rsidRDefault="00652152" w:rsidP="0081547E">
            <w:pPr>
              <w:spacing w:line="200" w:lineRule="exact"/>
              <w:ind w:left="142" w:rightChars="56" w:right="112"/>
              <w:rPr>
                <w:b/>
                <w:snapToGrid w:val="0"/>
                <w:sz w:val="16"/>
                <w:szCs w:val="16"/>
              </w:rPr>
            </w:pPr>
            <w:r w:rsidRPr="00FA7CFB">
              <w:rPr>
                <w:b/>
                <w:snapToGrid w:val="0"/>
                <w:sz w:val="16"/>
                <w:szCs w:val="16"/>
                <w:lang w:val="sv-SE"/>
              </w:rPr>
              <w:t>Felix Kinzer</w:t>
            </w:r>
          </w:p>
          <w:p w14:paraId="44108555" w14:textId="77777777" w:rsidR="00652152" w:rsidRPr="00FA7CFB" w:rsidRDefault="00652152" w:rsidP="0081547E">
            <w:pPr>
              <w:spacing w:line="200" w:lineRule="exact"/>
              <w:ind w:left="142" w:rightChars="56" w:right="112"/>
              <w:rPr>
                <w:snapToGrid w:val="0"/>
                <w:sz w:val="16"/>
                <w:szCs w:val="16"/>
              </w:rPr>
            </w:pPr>
            <w:r w:rsidRPr="00FA7CFB">
              <w:rPr>
                <w:snapToGrid w:val="0"/>
                <w:sz w:val="16"/>
                <w:szCs w:val="16"/>
                <w:lang w:val="sv-SE"/>
              </w:rPr>
              <w:t>Director</w:t>
            </w:r>
          </w:p>
          <w:p w14:paraId="48D7E59F" w14:textId="77777777" w:rsidR="00652152" w:rsidRPr="00FA7CFB" w:rsidRDefault="00652152" w:rsidP="0081547E">
            <w:pPr>
              <w:spacing w:line="200" w:lineRule="exact"/>
              <w:ind w:left="142" w:rightChars="56" w:right="112"/>
              <w:rPr>
                <w:snapToGrid w:val="0"/>
                <w:sz w:val="16"/>
                <w:szCs w:val="16"/>
              </w:rPr>
            </w:pPr>
            <w:r w:rsidRPr="00FA7CFB">
              <w:rPr>
                <w:snapToGrid w:val="0"/>
                <w:sz w:val="16"/>
                <w:szCs w:val="16"/>
                <w:lang w:val="sv-SE"/>
              </w:rPr>
              <w:t>Tel.: +49 (0) 61 02 8149 – 170</w:t>
            </w:r>
          </w:p>
          <w:p w14:paraId="1D90D324" w14:textId="77777777" w:rsidR="00652152" w:rsidRPr="00FA7CFB" w:rsidRDefault="00652152" w:rsidP="0081547E">
            <w:pPr>
              <w:ind w:left="142" w:rightChars="56" w:right="112"/>
              <w:rPr>
                <w:snapToGrid w:val="0"/>
                <w:sz w:val="16"/>
                <w:szCs w:val="16"/>
              </w:rPr>
            </w:pPr>
            <w:r w:rsidRPr="00FA7CFB">
              <w:rPr>
                <w:snapToGrid w:val="0"/>
                <w:color w:val="0000FF"/>
                <w:sz w:val="16"/>
                <w:u w:val="single"/>
                <w:lang w:val="pt-BR"/>
              </w:rPr>
              <w:t>f.kinzer@hankookreifen.de</w:t>
            </w:r>
          </w:p>
        </w:tc>
        <w:tc>
          <w:tcPr>
            <w:tcW w:w="2501" w:type="dxa"/>
            <w:shd w:val="clear" w:color="auto" w:fill="F2F2F2"/>
          </w:tcPr>
          <w:p w14:paraId="5800BF67" w14:textId="77777777" w:rsidR="00652152" w:rsidRPr="00971191" w:rsidRDefault="00652152" w:rsidP="0081547E">
            <w:pPr>
              <w:spacing w:line="200" w:lineRule="exact"/>
              <w:ind w:left="142" w:rightChars="56" w:right="112"/>
              <w:rPr>
                <w:b/>
                <w:snapToGrid w:val="0"/>
                <w:sz w:val="16"/>
                <w:szCs w:val="16"/>
                <w:lang w:val="en-US"/>
              </w:rPr>
            </w:pPr>
            <w:r w:rsidRPr="00FA7CFB">
              <w:rPr>
                <w:b/>
                <w:snapToGrid w:val="0"/>
                <w:sz w:val="16"/>
                <w:szCs w:val="16"/>
                <w:lang w:val="sv-SE"/>
              </w:rPr>
              <w:t>Anna Pasternak</w:t>
            </w:r>
          </w:p>
          <w:p w14:paraId="2FBBBC85" w14:textId="77777777" w:rsidR="00652152" w:rsidRPr="00971191" w:rsidRDefault="00652152" w:rsidP="0081547E">
            <w:pPr>
              <w:spacing w:line="200" w:lineRule="exact"/>
              <w:ind w:left="142" w:rightChars="56" w:right="112"/>
              <w:rPr>
                <w:snapToGrid w:val="0"/>
                <w:sz w:val="16"/>
                <w:szCs w:val="16"/>
                <w:lang w:val="en-US"/>
              </w:rPr>
            </w:pPr>
            <w:r w:rsidRPr="00FA7CFB">
              <w:rPr>
                <w:snapToGrid w:val="0"/>
                <w:sz w:val="16"/>
                <w:szCs w:val="16"/>
                <w:lang w:val="sv-SE"/>
              </w:rPr>
              <w:t>PR Manager</w:t>
            </w:r>
          </w:p>
          <w:p w14:paraId="503BF596" w14:textId="77777777" w:rsidR="00652152" w:rsidRPr="00971191" w:rsidRDefault="00652152" w:rsidP="0081547E">
            <w:pPr>
              <w:spacing w:line="200" w:lineRule="exact"/>
              <w:ind w:left="142" w:rightChars="56" w:right="112"/>
              <w:rPr>
                <w:snapToGrid w:val="0"/>
                <w:sz w:val="16"/>
                <w:szCs w:val="16"/>
                <w:lang w:val="en-US"/>
              </w:rPr>
            </w:pPr>
            <w:r w:rsidRPr="00FA7CFB">
              <w:rPr>
                <w:snapToGrid w:val="0"/>
                <w:sz w:val="16"/>
                <w:szCs w:val="16"/>
                <w:lang w:val="sv-SE"/>
              </w:rPr>
              <w:t>Tel.: +49 (0) 61 02 8149 – 173</w:t>
            </w:r>
          </w:p>
          <w:p w14:paraId="274948F8" w14:textId="77777777" w:rsidR="00652152" w:rsidRPr="00FA7CFB" w:rsidRDefault="00652152" w:rsidP="0081547E">
            <w:pPr>
              <w:ind w:left="142" w:rightChars="56" w:right="112"/>
              <w:rPr>
                <w:sz w:val="16"/>
                <w:szCs w:val="16"/>
              </w:rPr>
            </w:pPr>
            <w:r w:rsidRPr="00FA7CFB">
              <w:rPr>
                <w:snapToGrid w:val="0"/>
                <w:color w:val="0000FF"/>
                <w:sz w:val="16"/>
                <w:u w:val="single"/>
              </w:rPr>
              <w:t>a.pasternak@hankookreifen.de</w:t>
            </w:r>
          </w:p>
        </w:tc>
        <w:tc>
          <w:tcPr>
            <w:tcW w:w="2360" w:type="dxa"/>
            <w:shd w:val="clear" w:color="auto" w:fill="F2F2F2"/>
          </w:tcPr>
          <w:p w14:paraId="3BFD5C35" w14:textId="0A1D2EFE" w:rsidR="00652152" w:rsidRPr="00FA7CFB" w:rsidRDefault="00652152" w:rsidP="0081547E">
            <w:pPr>
              <w:spacing w:line="200" w:lineRule="exact"/>
              <w:ind w:left="142" w:rightChars="56" w:right="112"/>
              <w:rPr>
                <w:sz w:val="21"/>
                <w:szCs w:val="21"/>
              </w:rPr>
            </w:pPr>
          </w:p>
        </w:tc>
        <w:tc>
          <w:tcPr>
            <w:tcW w:w="2138" w:type="dxa"/>
            <w:shd w:val="clear" w:color="auto" w:fill="F2F2F2"/>
          </w:tcPr>
          <w:p w14:paraId="01C74123" w14:textId="231ABDCB" w:rsidR="00832310" w:rsidRPr="00FA7CFB" w:rsidRDefault="00832310" w:rsidP="00832310">
            <w:pPr>
              <w:spacing w:line="200" w:lineRule="exact"/>
              <w:ind w:rightChars="56" w:right="112"/>
              <w:rPr>
                <w:sz w:val="21"/>
                <w:szCs w:val="21"/>
              </w:rPr>
            </w:pPr>
          </w:p>
        </w:tc>
      </w:tr>
      <w:tr w:rsidR="00832310" w:rsidRPr="00FA7CFB" w14:paraId="20A918FF" w14:textId="77777777" w:rsidTr="005E0B6F">
        <w:tc>
          <w:tcPr>
            <w:tcW w:w="2688" w:type="dxa"/>
            <w:shd w:val="clear" w:color="auto" w:fill="F2F2F2"/>
          </w:tcPr>
          <w:p w14:paraId="095E6B47" w14:textId="77777777" w:rsidR="00832310" w:rsidRPr="00FA7CFB" w:rsidRDefault="00832310" w:rsidP="0081547E">
            <w:pPr>
              <w:spacing w:line="200" w:lineRule="exact"/>
              <w:ind w:left="142" w:rightChars="56" w:right="112"/>
              <w:rPr>
                <w:b/>
                <w:snapToGrid w:val="0"/>
                <w:sz w:val="16"/>
                <w:szCs w:val="16"/>
                <w:lang w:val="sv-SE"/>
              </w:rPr>
            </w:pPr>
          </w:p>
        </w:tc>
        <w:tc>
          <w:tcPr>
            <w:tcW w:w="2501" w:type="dxa"/>
            <w:shd w:val="clear" w:color="auto" w:fill="F2F2F2"/>
          </w:tcPr>
          <w:p w14:paraId="06462CAF" w14:textId="77777777" w:rsidR="00832310" w:rsidRPr="00FA7CFB" w:rsidRDefault="00832310" w:rsidP="0081547E">
            <w:pPr>
              <w:spacing w:line="200" w:lineRule="exact"/>
              <w:ind w:left="142" w:rightChars="56" w:right="112"/>
              <w:rPr>
                <w:b/>
                <w:snapToGrid w:val="0"/>
                <w:sz w:val="16"/>
                <w:szCs w:val="16"/>
                <w:lang w:val="sv-SE"/>
              </w:rPr>
            </w:pPr>
          </w:p>
        </w:tc>
        <w:tc>
          <w:tcPr>
            <w:tcW w:w="2360" w:type="dxa"/>
            <w:shd w:val="clear" w:color="auto" w:fill="F2F2F2"/>
          </w:tcPr>
          <w:p w14:paraId="4D2CD74B" w14:textId="77777777" w:rsidR="00832310" w:rsidRPr="00FA7CFB" w:rsidRDefault="00832310" w:rsidP="0081547E">
            <w:pPr>
              <w:spacing w:line="200" w:lineRule="exact"/>
              <w:ind w:left="142" w:rightChars="56" w:right="112"/>
              <w:rPr>
                <w:sz w:val="21"/>
                <w:szCs w:val="21"/>
              </w:rPr>
            </w:pPr>
          </w:p>
        </w:tc>
        <w:tc>
          <w:tcPr>
            <w:tcW w:w="2138" w:type="dxa"/>
            <w:shd w:val="clear" w:color="auto" w:fill="F2F2F2"/>
          </w:tcPr>
          <w:p w14:paraId="4C4C280B" w14:textId="77777777" w:rsidR="00832310" w:rsidRPr="00FA7CFB" w:rsidRDefault="00832310" w:rsidP="00832310">
            <w:pPr>
              <w:spacing w:line="200" w:lineRule="exact"/>
              <w:ind w:rightChars="56" w:right="112"/>
              <w:rPr>
                <w:sz w:val="21"/>
                <w:szCs w:val="21"/>
              </w:rPr>
            </w:pPr>
          </w:p>
        </w:tc>
      </w:tr>
      <w:tr w:rsidR="00832310" w:rsidRPr="00FA7CFB" w14:paraId="06C2F7C2" w14:textId="77777777" w:rsidTr="005E0B6F">
        <w:tc>
          <w:tcPr>
            <w:tcW w:w="2688" w:type="dxa"/>
            <w:shd w:val="clear" w:color="auto" w:fill="F2F2F2"/>
          </w:tcPr>
          <w:p w14:paraId="066A5139" w14:textId="77777777" w:rsidR="00832310" w:rsidRDefault="00832310" w:rsidP="00832310">
            <w:pPr>
              <w:ind w:left="144"/>
              <w:rPr>
                <w:b/>
                <w:snapToGrid w:val="0"/>
                <w:sz w:val="16"/>
                <w:szCs w:val="16"/>
              </w:rPr>
            </w:pPr>
            <w:r>
              <w:rPr>
                <w:b/>
                <w:snapToGrid w:val="0"/>
                <w:sz w:val="16"/>
              </w:rPr>
              <w:t>Juan Carlos Moyano</w:t>
            </w:r>
          </w:p>
          <w:p w14:paraId="37BAA364" w14:textId="77777777" w:rsidR="00832310" w:rsidRPr="0094023C" w:rsidRDefault="00832310" w:rsidP="00832310">
            <w:pPr>
              <w:ind w:left="144"/>
              <w:rPr>
                <w:snapToGrid w:val="0"/>
                <w:sz w:val="16"/>
              </w:rPr>
            </w:pPr>
            <w:r w:rsidRPr="0094023C">
              <w:rPr>
                <w:snapToGrid w:val="0"/>
                <w:sz w:val="16"/>
              </w:rPr>
              <w:t>PR &amp; Marketing</w:t>
            </w:r>
          </w:p>
          <w:p w14:paraId="0E1B0933" w14:textId="77777777" w:rsidR="00832310" w:rsidRPr="0094023C" w:rsidRDefault="00832310" w:rsidP="00832310">
            <w:pPr>
              <w:ind w:left="144"/>
              <w:rPr>
                <w:snapToGrid w:val="0"/>
                <w:sz w:val="16"/>
              </w:rPr>
            </w:pPr>
            <w:r w:rsidRPr="0094023C">
              <w:rPr>
                <w:snapToGrid w:val="0"/>
                <w:sz w:val="16"/>
              </w:rPr>
              <w:t>Hankook España</w:t>
            </w:r>
          </w:p>
          <w:p w14:paraId="3E3CA326" w14:textId="77777777" w:rsidR="00832310" w:rsidRDefault="00832310" w:rsidP="00832310">
            <w:pPr>
              <w:ind w:left="144"/>
              <w:rPr>
                <w:snapToGrid w:val="0"/>
                <w:sz w:val="16"/>
              </w:rPr>
            </w:pPr>
            <w:r w:rsidRPr="0094023C">
              <w:rPr>
                <w:snapToGrid w:val="0"/>
                <w:sz w:val="16"/>
              </w:rPr>
              <w:t>Telf.: +34 628 157 178</w:t>
            </w:r>
          </w:p>
          <w:p w14:paraId="374BB66E" w14:textId="77777777" w:rsidR="00832310" w:rsidRPr="001C5DF1" w:rsidRDefault="004B113A" w:rsidP="00832310">
            <w:pPr>
              <w:tabs>
                <w:tab w:val="left" w:pos="5693"/>
              </w:tabs>
              <w:spacing w:line="276" w:lineRule="auto"/>
              <w:ind w:left="144"/>
              <w:rPr>
                <w:sz w:val="22"/>
                <w:szCs w:val="22"/>
                <w:lang w:val="en-GB"/>
              </w:rPr>
            </w:pPr>
            <w:hyperlink r:id="rId12" w:history="1">
              <w:r w:rsidR="00832310" w:rsidRPr="002B7B66">
                <w:rPr>
                  <w:rStyle w:val="Hyperlink"/>
                  <w:snapToGrid w:val="0"/>
                  <w:sz w:val="16"/>
                </w:rPr>
                <w:t>juan.moyano@hankook.es</w:t>
              </w:r>
            </w:hyperlink>
          </w:p>
          <w:p w14:paraId="5B00FBB9" w14:textId="77777777" w:rsidR="00832310" w:rsidRPr="00FA7CFB" w:rsidRDefault="00832310" w:rsidP="0081547E">
            <w:pPr>
              <w:spacing w:line="200" w:lineRule="exact"/>
              <w:ind w:left="142" w:rightChars="56" w:right="112"/>
              <w:rPr>
                <w:b/>
                <w:snapToGrid w:val="0"/>
                <w:sz w:val="16"/>
                <w:szCs w:val="16"/>
                <w:lang w:val="sv-SE"/>
              </w:rPr>
            </w:pPr>
          </w:p>
        </w:tc>
        <w:tc>
          <w:tcPr>
            <w:tcW w:w="2501" w:type="dxa"/>
            <w:shd w:val="clear" w:color="auto" w:fill="F2F2F2"/>
          </w:tcPr>
          <w:p w14:paraId="4FC5C8A4" w14:textId="77777777" w:rsidR="00832310" w:rsidRPr="00FA7CFB" w:rsidRDefault="00832310" w:rsidP="0081547E">
            <w:pPr>
              <w:spacing w:line="200" w:lineRule="exact"/>
              <w:ind w:left="142" w:rightChars="56" w:right="112"/>
              <w:rPr>
                <w:b/>
                <w:snapToGrid w:val="0"/>
                <w:sz w:val="16"/>
                <w:szCs w:val="16"/>
                <w:lang w:val="sv-SE"/>
              </w:rPr>
            </w:pPr>
          </w:p>
        </w:tc>
        <w:tc>
          <w:tcPr>
            <w:tcW w:w="2360" w:type="dxa"/>
            <w:shd w:val="clear" w:color="auto" w:fill="F2F2F2"/>
          </w:tcPr>
          <w:p w14:paraId="71AF0CA6" w14:textId="77777777" w:rsidR="00832310" w:rsidRPr="00FA7CFB" w:rsidRDefault="00832310" w:rsidP="0081547E">
            <w:pPr>
              <w:spacing w:line="200" w:lineRule="exact"/>
              <w:ind w:left="142" w:rightChars="56" w:right="112"/>
              <w:rPr>
                <w:sz w:val="21"/>
                <w:szCs w:val="21"/>
              </w:rPr>
            </w:pPr>
          </w:p>
        </w:tc>
        <w:tc>
          <w:tcPr>
            <w:tcW w:w="2138" w:type="dxa"/>
            <w:shd w:val="clear" w:color="auto" w:fill="F2F2F2"/>
          </w:tcPr>
          <w:p w14:paraId="63852AAC" w14:textId="77777777" w:rsidR="00832310" w:rsidRPr="00FA7CFB" w:rsidRDefault="00832310" w:rsidP="00832310">
            <w:pPr>
              <w:spacing w:line="200" w:lineRule="exact"/>
              <w:ind w:rightChars="56" w:right="112"/>
              <w:rPr>
                <w:sz w:val="21"/>
                <w:szCs w:val="21"/>
              </w:rPr>
            </w:pPr>
          </w:p>
        </w:tc>
      </w:tr>
      <w:tr w:rsidR="00832310" w:rsidRPr="00FA7CFB" w14:paraId="52A93778" w14:textId="77777777" w:rsidTr="005E0B6F">
        <w:tc>
          <w:tcPr>
            <w:tcW w:w="2688" w:type="dxa"/>
            <w:shd w:val="clear" w:color="auto" w:fill="F2F2F2"/>
          </w:tcPr>
          <w:p w14:paraId="214251C1" w14:textId="77777777" w:rsidR="00832310" w:rsidRPr="00FA7CFB" w:rsidRDefault="00832310" w:rsidP="00832310">
            <w:pPr>
              <w:tabs>
                <w:tab w:val="left" w:pos="5693"/>
              </w:tabs>
              <w:spacing w:line="276" w:lineRule="auto"/>
              <w:rPr>
                <w:b/>
                <w:snapToGrid w:val="0"/>
                <w:sz w:val="16"/>
                <w:szCs w:val="16"/>
                <w:lang w:val="sv-SE"/>
              </w:rPr>
            </w:pPr>
          </w:p>
        </w:tc>
        <w:tc>
          <w:tcPr>
            <w:tcW w:w="2501" w:type="dxa"/>
            <w:shd w:val="clear" w:color="auto" w:fill="F2F2F2"/>
          </w:tcPr>
          <w:p w14:paraId="08472026" w14:textId="77777777" w:rsidR="00832310" w:rsidRPr="00FA7CFB" w:rsidRDefault="00832310" w:rsidP="00832310">
            <w:pPr>
              <w:tabs>
                <w:tab w:val="left" w:pos="5693"/>
              </w:tabs>
              <w:spacing w:line="276" w:lineRule="auto"/>
              <w:rPr>
                <w:b/>
                <w:snapToGrid w:val="0"/>
                <w:sz w:val="16"/>
                <w:szCs w:val="16"/>
                <w:lang w:val="sv-SE"/>
              </w:rPr>
            </w:pPr>
          </w:p>
        </w:tc>
        <w:tc>
          <w:tcPr>
            <w:tcW w:w="2360" w:type="dxa"/>
            <w:shd w:val="clear" w:color="auto" w:fill="F2F2F2"/>
          </w:tcPr>
          <w:p w14:paraId="2BA90CC6" w14:textId="77777777" w:rsidR="00832310" w:rsidRPr="00FA7CFB" w:rsidRDefault="00832310" w:rsidP="0081547E">
            <w:pPr>
              <w:spacing w:line="200" w:lineRule="exact"/>
              <w:ind w:left="142" w:rightChars="56" w:right="112"/>
              <w:rPr>
                <w:sz w:val="21"/>
                <w:szCs w:val="21"/>
              </w:rPr>
            </w:pPr>
          </w:p>
        </w:tc>
        <w:tc>
          <w:tcPr>
            <w:tcW w:w="2138" w:type="dxa"/>
            <w:shd w:val="clear" w:color="auto" w:fill="F2F2F2"/>
          </w:tcPr>
          <w:p w14:paraId="0F5BDFE6" w14:textId="77777777" w:rsidR="00832310" w:rsidRPr="00FA7CFB" w:rsidRDefault="00832310" w:rsidP="0081547E">
            <w:pPr>
              <w:spacing w:line="200" w:lineRule="exact"/>
              <w:ind w:left="142" w:rightChars="56" w:right="112"/>
              <w:rPr>
                <w:sz w:val="21"/>
                <w:szCs w:val="21"/>
              </w:rPr>
            </w:pPr>
          </w:p>
        </w:tc>
      </w:tr>
    </w:tbl>
    <w:p w14:paraId="40C1EA49" w14:textId="77777777" w:rsidR="00832310" w:rsidRPr="001C5DF1" w:rsidRDefault="00832310">
      <w:pPr>
        <w:tabs>
          <w:tab w:val="left" w:pos="5693"/>
        </w:tabs>
        <w:spacing w:line="276" w:lineRule="auto"/>
        <w:rPr>
          <w:sz w:val="22"/>
          <w:szCs w:val="22"/>
          <w:lang w:val="en-GB"/>
        </w:rPr>
      </w:pPr>
    </w:p>
    <w:sectPr w:rsidR="00832310" w:rsidRPr="001C5DF1"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4BEE" w14:textId="77777777" w:rsidR="004B113A" w:rsidRDefault="004B113A">
      <w:r>
        <w:separator/>
      </w:r>
    </w:p>
  </w:endnote>
  <w:endnote w:type="continuationSeparator" w:id="0">
    <w:p w14:paraId="30072A33" w14:textId="77777777" w:rsidR="004B113A" w:rsidRDefault="004B113A">
      <w:r>
        <w:continuationSeparator/>
      </w:r>
    </w:p>
  </w:endnote>
  <w:endnote w:type="continuationNotice" w:id="1">
    <w:p w14:paraId="503C1AD5" w14:textId="77777777" w:rsidR="004B113A" w:rsidRDefault="004B1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Hankook Regular">
    <w:altName w:val="Arial Unicode MS"/>
    <w:panose1 w:val="00000000000000000000"/>
    <w:charset w:val="81"/>
    <w:family w:val="swiss"/>
    <w:notTrueType/>
    <w:pitch w:val="variable"/>
    <w:sig w:usb0="00000000"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A743" w14:textId="77777777" w:rsidR="004B113A" w:rsidRDefault="004B113A">
      <w:r>
        <w:separator/>
      </w:r>
    </w:p>
  </w:footnote>
  <w:footnote w:type="continuationSeparator" w:id="0">
    <w:p w14:paraId="2B11F346" w14:textId="77777777" w:rsidR="004B113A" w:rsidRDefault="004B113A">
      <w:r>
        <w:continuationSeparator/>
      </w:r>
    </w:p>
  </w:footnote>
  <w:footnote w:type="continuationNotice" w:id="1">
    <w:p w14:paraId="4642C286" w14:textId="77777777" w:rsidR="004B113A" w:rsidRDefault="004B1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5302" w14:textId="77777777" w:rsidR="00672309" w:rsidRDefault="001C5DF1">
    <w:pPr>
      <w:pStyle w:val="Kopfzeile"/>
    </w:pPr>
    <w:r>
      <w:rPr>
        <w:noProof/>
        <w:lang w:val="sl-SI" w:eastAsia="sl-SI"/>
      </w:rPr>
      <w:drawing>
        <wp:inline distT="0" distB="0" distL="0" distR="0" wp14:anchorId="480C6720" wp14:editId="1EDD230C">
          <wp:extent cx="6115050" cy="962025"/>
          <wp:effectExtent l="0" t="0" r="0" b="0"/>
          <wp:docPr id="2" name="Imagen 1" descr="G:\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ES_PR_HeaderNew.png"/>
                  <pic:cNvPicPr>
                    <a:picLocks noChangeAspect="1" noChangeArrowheads="1"/>
                  </pic:cNvPicPr>
                </pic:nvPicPr>
                <pic:blipFill>
                  <a:blip r:embed="rId1"/>
                  <a:srcRect/>
                  <a:stretch>
                    <a:fillRect/>
                  </a:stretch>
                </pic:blipFill>
                <pic:spPr bwMode="auto">
                  <a:xfrm>
                    <a:off x="0" y="0"/>
                    <a:ext cx="6115050" cy="962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10E7"/>
    <w:rsid w:val="00025EFF"/>
    <w:rsid w:val="00032CB4"/>
    <w:rsid w:val="0003363C"/>
    <w:rsid w:val="000444F8"/>
    <w:rsid w:val="000467DD"/>
    <w:rsid w:val="00047A43"/>
    <w:rsid w:val="000526E8"/>
    <w:rsid w:val="000537FF"/>
    <w:rsid w:val="00054683"/>
    <w:rsid w:val="0005478E"/>
    <w:rsid w:val="00054A1A"/>
    <w:rsid w:val="0005522E"/>
    <w:rsid w:val="00056D2D"/>
    <w:rsid w:val="0006303D"/>
    <w:rsid w:val="00063186"/>
    <w:rsid w:val="000707C2"/>
    <w:rsid w:val="00071BCE"/>
    <w:rsid w:val="00073687"/>
    <w:rsid w:val="000859EF"/>
    <w:rsid w:val="000868F9"/>
    <w:rsid w:val="000879C0"/>
    <w:rsid w:val="0009079D"/>
    <w:rsid w:val="000941F4"/>
    <w:rsid w:val="00094419"/>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D0075"/>
    <w:rsid w:val="000D0D25"/>
    <w:rsid w:val="000D4E86"/>
    <w:rsid w:val="000D5792"/>
    <w:rsid w:val="000E0228"/>
    <w:rsid w:val="000E045C"/>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AD3"/>
    <w:rsid w:val="00107B56"/>
    <w:rsid w:val="00113254"/>
    <w:rsid w:val="00116011"/>
    <w:rsid w:val="001205F4"/>
    <w:rsid w:val="001216BC"/>
    <w:rsid w:val="00124D3D"/>
    <w:rsid w:val="0012558D"/>
    <w:rsid w:val="001257AF"/>
    <w:rsid w:val="00125AC4"/>
    <w:rsid w:val="00125EEC"/>
    <w:rsid w:val="00132733"/>
    <w:rsid w:val="00132B6B"/>
    <w:rsid w:val="00135384"/>
    <w:rsid w:val="00137711"/>
    <w:rsid w:val="001411F8"/>
    <w:rsid w:val="00142EA4"/>
    <w:rsid w:val="001464B7"/>
    <w:rsid w:val="00146DEE"/>
    <w:rsid w:val="00147EB6"/>
    <w:rsid w:val="00153D69"/>
    <w:rsid w:val="001555C3"/>
    <w:rsid w:val="00155763"/>
    <w:rsid w:val="00161955"/>
    <w:rsid w:val="00163920"/>
    <w:rsid w:val="00163E32"/>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C5DF1"/>
    <w:rsid w:val="001D3EC8"/>
    <w:rsid w:val="001D455D"/>
    <w:rsid w:val="001D4A90"/>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53054"/>
    <w:rsid w:val="0025409B"/>
    <w:rsid w:val="00255649"/>
    <w:rsid w:val="002579EF"/>
    <w:rsid w:val="00260B34"/>
    <w:rsid w:val="002615D7"/>
    <w:rsid w:val="00262916"/>
    <w:rsid w:val="0026495E"/>
    <w:rsid w:val="00266AA8"/>
    <w:rsid w:val="00267723"/>
    <w:rsid w:val="002708CB"/>
    <w:rsid w:val="00272A25"/>
    <w:rsid w:val="00272A38"/>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97EFA"/>
    <w:rsid w:val="003A20B6"/>
    <w:rsid w:val="003A59F8"/>
    <w:rsid w:val="003A6919"/>
    <w:rsid w:val="003A73DB"/>
    <w:rsid w:val="003A7B5E"/>
    <w:rsid w:val="003A7C4C"/>
    <w:rsid w:val="003A7E18"/>
    <w:rsid w:val="003B20CE"/>
    <w:rsid w:val="003B2577"/>
    <w:rsid w:val="003B2B2F"/>
    <w:rsid w:val="003B2C27"/>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328DE"/>
    <w:rsid w:val="004330FF"/>
    <w:rsid w:val="00433B4C"/>
    <w:rsid w:val="0043413E"/>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83B"/>
    <w:rsid w:val="004875B6"/>
    <w:rsid w:val="00490ABB"/>
    <w:rsid w:val="00491AAB"/>
    <w:rsid w:val="004928CE"/>
    <w:rsid w:val="00492FC2"/>
    <w:rsid w:val="004942B1"/>
    <w:rsid w:val="00497D50"/>
    <w:rsid w:val="004A17E1"/>
    <w:rsid w:val="004A3493"/>
    <w:rsid w:val="004A4CB3"/>
    <w:rsid w:val="004A5829"/>
    <w:rsid w:val="004A7BB1"/>
    <w:rsid w:val="004A7FA3"/>
    <w:rsid w:val="004B113A"/>
    <w:rsid w:val="004B4FF9"/>
    <w:rsid w:val="004B6DDE"/>
    <w:rsid w:val="004B70F6"/>
    <w:rsid w:val="004B7FBF"/>
    <w:rsid w:val="004C0929"/>
    <w:rsid w:val="004C0BF7"/>
    <w:rsid w:val="004C1231"/>
    <w:rsid w:val="004C2BE7"/>
    <w:rsid w:val="004C2C80"/>
    <w:rsid w:val="004C33F3"/>
    <w:rsid w:val="004C3832"/>
    <w:rsid w:val="004C480B"/>
    <w:rsid w:val="004C4B3F"/>
    <w:rsid w:val="004C59E3"/>
    <w:rsid w:val="004C6CC8"/>
    <w:rsid w:val="004D1F43"/>
    <w:rsid w:val="004D4CDF"/>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06749"/>
    <w:rsid w:val="00610090"/>
    <w:rsid w:val="00612A2D"/>
    <w:rsid w:val="00612FBC"/>
    <w:rsid w:val="00613ECE"/>
    <w:rsid w:val="00615E4C"/>
    <w:rsid w:val="00616AA9"/>
    <w:rsid w:val="00617551"/>
    <w:rsid w:val="00617A85"/>
    <w:rsid w:val="00617AC3"/>
    <w:rsid w:val="006218BA"/>
    <w:rsid w:val="00622550"/>
    <w:rsid w:val="00623E1A"/>
    <w:rsid w:val="00624731"/>
    <w:rsid w:val="006254E6"/>
    <w:rsid w:val="00626381"/>
    <w:rsid w:val="006274F1"/>
    <w:rsid w:val="0063054E"/>
    <w:rsid w:val="0063359B"/>
    <w:rsid w:val="00633B92"/>
    <w:rsid w:val="00633F30"/>
    <w:rsid w:val="00634A20"/>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16F1"/>
    <w:rsid w:val="006A28E6"/>
    <w:rsid w:val="006A332E"/>
    <w:rsid w:val="006A50DB"/>
    <w:rsid w:val="006A5B18"/>
    <w:rsid w:val="006A768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547E"/>
    <w:rsid w:val="008166FD"/>
    <w:rsid w:val="00816C4E"/>
    <w:rsid w:val="008170EE"/>
    <w:rsid w:val="0082014F"/>
    <w:rsid w:val="008232F0"/>
    <w:rsid w:val="0082330F"/>
    <w:rsid w:val="00827D68"/>
    <w:rsid w:val="00830516"/>
    <w:rsid w:val="00831B6E"/>
    <w:rsid w:val="00832310"/>
    <w:rsid w:val="00832BD1"/>
    <w:rsid w:val="008339F7"/>
    <w:rsid w:val="00834D9D"/>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3F26"/>
    <w:rsid w:val="00874415"/>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5337"/>
    <w:rsid w:val="008F5404"/>
    <w:rsid w:val="008F680C"/>
    <w:rsid w:val="009002D4"/>
    <w:rsid w:val="009006E6"/>
    <w:rsid w:val="00900B43"/>
    <w:rsid w:val="0090207C"/>
    <w:rsid w:val="00902145"/>
    <w:rsid w:val="009053E9"/>
    <w:rsid w:val="009056EC"/>
    <w:rsid w:val="0090629F"/>
    <w:rsid w:val="009104FC"/>
    <w:rsid w:val="00910720"/>
    <w:rsid w:val="009234C5"/>
    <w:rsid w:val="009266D8"/>
    <w:rsid w:val="00930BE8"/>
    <w:rsid w:val="00931364"/>
    <w:rsid w:val="00931B3E"/>
    <w:rsid w:val="00932C52"/>
    <w:rsid w:val="00933367"/>
    <w:rsid w:val="00933FA4"/>
    <w:rsid w:val="00936916"/>
    <w:rsid w:val="00936C86"/>
    <w:rsid w:val="009402E3"/>
    <w:rsid w:val="00945BA0"/>
    <w:rsid w:val="00951440"/>
    <w:rsid w:val="00953487"/>
    <w:rsid w:val="00961435"/>
    <w:rsid w:val="00965547"/>
    <w:rsid w:val="00967BC9"/>
    <w:rsid w:val="00971011"/>
    <w:rsid w:val="00971191"/>
    <w:rsid w:val="009712A9"/>
    <w:rsid w:val="00973F85"/>
    <w:rsid w:val="00974B91"/>
    <w:rsid w:val="00975B65"/>
    <w:rsid w:val="00977417"/>
    <w:rsid w:val="00984D92"/>
    <w:rsid w:val="00985B4F"/>
    <w:rsid w:val="00987754"/>
    <w:rsid w:val="0098780A"/>
    <w:rsid w:val="0099083C"/>
    <w:rsid w:val="00992357"/>
    <w:rsid w:val="00993867"/>
    <w:rsid w:val="009A3808"/>
    <w:rsid w:val="009A53B9"/>
    <w:rsid w:val="009A5CFC"/>
    <w:rsid w:val="009B18D0"/>
    <w:rsid w:val="009B3220"/>
    <w:rsid w:val="009B4D46"/>
    <w:rsid w:val="009B55E9"/>
    <w:rsid w:val="009C0315"/>
    <w:rsid w:val="009C1B18"/>
    <w:rsid w:val="009C3A6E"/>
    <w:rsid w:val="009C45A2"/>
    <w:rsid w:val="009C4A38"/>
    <w:rsid w:val="009C6B29"/>
    <w:rsid w:val="009C7008"/>
    <w:rsid w:val="009D11EA"/>
    <w:rsid w:val="009D2244"/>
    <w:rsid w:val="009D4C40"/>
    <w:rsid w:val="009D4E7E"/>
    <w:rsid w:val="009D5008"/>
    <w:rsid w:val="009D5844"/>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4C5A"/>
    <w:rsid w:val="00A57DEA"/>
    <w:rsid w:val="00A621C3"/>
    <w:rsid w:val="00A64C17"/>
    <w:rsid w:val="00A6628F"/>
    <w:rsid w:val="00A679DE"/>
    <w:rsid w:val="00A67CC0"/>
    <w:rsid w:val="00A700F4"/>
    <w:rsid w:val="00A70F62"/>
    <w:rsid w:val="00A71607"/>
    <w:rsid w:val="00A72E49"/>
    <w:rsid w:val="00A7411C"/>
    <w:rsid w:val="00A7665E"/>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C67A8"/>
    <w:rsid w:val="00AD3CE8"/>
    <w:rsid w:val="00AD4466"/>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C7F"/>
    <w:rsid w:val="00B94FDE"/>
    <w:rsid w:val="00B963CC"/>
    <w:rsid w:val="00B966ED"/>
    <w:rsid w:val="00B97A2F"/>
    <w:rsid w:val="00B97C9C"/>
    <w:rsid w:val="00BA33BC"/>
    <w:rsid w:val="00BA3DD3"/>
    <w:rsid w:val="00BA48C7"/>
    <w:rsid w:val="00BA6D61"/>
    <w:rsid w:val="00BA720B"/>
    <w:rsid w:val="00BA730E"/>
    <w:rsid w:val="00BA748B"/>
    <w:rsid w:val="00BB1E15"/>
    <w:rsid w:val="00BB1EE3"/>
    <w:rsid w:val="00BB2584"/>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5D61"/>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29D9"/>
    <w:rsid w:val="00C644EF"/>
    <w:rsid w:val="00C66A0E"/>
    <w:rsid w:val="00C66C8F"/>
    <w:rsid w:val="00C67962"/>
    <w:rsid w:val="00C70B88"/>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0A7B"/>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5AE"/>
    <w:rsid w:val="00CF6D88"/>
    <w:rsid w:val="00D00809"/>
    <w:rsid w:val="00D010E0"/>
    <w:rsid w:val="00D022A4"/>
    <w:rsid w:val="00D03692"/>
    <w:rsid w:val="00D03D25"/>
    <w:rsid w:val="00D049E5"/>
    <w:rsid w:val="00D05FF8"/>
    <w:rsid w:val="00D0782A"/>
    <w:rsid w:val="00D16BAA"/>
    <w:rsid w:val="00D20779"/>
    <w:rsid w:val="00D23378"/>
    <w:rsid w:val="00D245F1"/>
    <w:rsid w:val="00D25688"/>
    <w:rsid w:val="00D26942"/>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9739E"/>
    <w:rsid w:val="00DA026A"/>
    <w:rsid w:val="00DA02F6"/>
    <w:rsid w:val="00DA5417"/>
    <w:rsid w:val="00DA7225"/>
    <w:rsid w:val="00DA7FAB"/>
    <w:rsid w:val="00DB0C02"/>
    <w:rsid w:val="00DB2773"/>
    <w:rsid w:val="00DB2CA1"/>
    <w:rsid w:val="00DB2ED4"/>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1A70"/>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3E88"/>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7255"/>
    <w:rsid w:val="00F3025B"/>
    <w:rsid w:val="00F30423"/>
    <w:rsid w:val="00F3208E"/>
    <w:rsid w:val="00F32F7B"/>
    <w:rsid w:val="00F33FA5"/>
    <w:rsid w:val="00F34B24"/>
    <w:rsid w:val="00F361C1"/>
    <w:rsid w:val="00F417AD"/>
    <w:rsid w:val="00F420E5"/>
    <w:rsid w:val="00F45DE8"/>
    <w:rsid w:val="00F5217E"/>
    <w:rsid w:val="00F53FFC"/>
    <w:rsid w:val="00F6067D"/>
    <w:rsid w:val="00F61DF3"/>
    <w:rsid w:val="00F6384E"/>
    <w:rsid w:val="00F65306"/>
    <w:rsid w:val="00F659A5"/>
    <w:rsid w:val="00F66EC8"/>
    <w:rsid w:val="00F74B8C"/>
    <w:rsid w:val="00F76731"/>
    <w:rsid w:val="00F806E0"/>
    <w:rsid w:val="00F819C7"/>
    <w:rsid w:val="00F82611"/>
    <w:rsid w:val="00F83FEB"/>
    <w:rsid w:val="00F8482F"/>
    <w:rsid w:val="00F90D4C"/>
    <w:rsid w:val="00F9368B"/>
    <w:rsid w:val="00F95481"/>
    <w:rsid w:val="00F97CBF"/>
    <w:rsid w:val="00FA30BE"/>
    <w:rsid w:val="00FA4CA4"/>
    <w:rsid w:val="00FA5D3C"/>
    <w:rsid w:val="00FA75B8"/>
    <w:rsid w:val="00FA7CFB"/>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DEA31"/>
  <w15:docId w15:val="{30A4D3D1-A8BD-45F8-9B1D-A0D5AC88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s-ES"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996685191">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F909-2BA6-48EA-86B8-2825CD93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4.xml><?xml version="1.0" encoding="utf-8"?>
<ds:datastoreItem xmlns:ds="http://schemas.openxmlformats.org/officeDocument/2006/customXml" ds:itemID="{2CB225D3-C4BE-4C13-8D0B-97EB286F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5608</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2019-08-02T08:07:00Z</cp:lastPrinted>
  <dcterms:created xsi:type="dcterms:W3CDTF">2019-08-02T06:31:00Z</dcterms:created>
  <dcterms:modified xsi:type="dcterms:W3CDTF">2019-08-02T10:12:00Z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