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604E" w:rsidRDefault="00DA604E">
      <w:pPr>
        <w:tabs>
          <w:tab w:val="left" w:pos="142"/>
        </w:tabs>
        <w:rPr>
          <w:rFonts w:ascii="Helvetica Neue" w:eastAsia="Helvetica Neue" w:hAnsi="Helvetica Neue" w:cs="Helvetica Neue"/>
          <w:b/>
          <w:color w:val="FF6600"/>
          <w:sz w:val="32"/>
          <w:szCs w:val="32"/>
        </w:rPr>
      </w:pPr>
    </w:p>
    <w:p w:rsidR="00DA604E" w:rsidRPr="00425294" w:rsidRDefault="00425294">
      <w:pPr>
        <w:tabs>
          <w:tab w:val="left" w:pos="142"/>
        </w:tabs>
        <w:jc w:val="center"/>
        <w:rPr>
          <w:b/>
          <w:color w:val="FF6600"/>
          <w:sz w:val="32"/>
          <w:szCs w:val="32"/>
        </w:rPr>
      </w:pPr>
      <w:r w:rsidRPr="00425294">
        <w:rPr>
          <w:b/>
          <w:color w:val="FF6600"/>
          <w:sz w:val="32"/>
          <w:szCs w:val="32"/>
        </w:rPr>
        <w:t>A Hankook nagyszerű szezont tudhat maga mögött</w:t>
      </w:r>
    </w:p>
    <w:p w:rsidR="00DA604E" w:rsidRPr="00425294" w:rsidRDefault="00425294">
      <w:pPr>
        <w:tabs>
          <w:tab w:val="left" w:pos="142"/>
        </w:tabs>
        <w:jc w:val="center"/>
        <w:rPr>
          <w:b/>
          <w:color w:val="FF6600"/>
          <w:sz w:val="32"/>
          <w:szCs w:val="32"/>
        </w:rPr>
      </w:pPr>
      <w:r w:rsidRPr="00425294">
        <w:rPr>
          <w:b/>
          <w:color w:val="FF6600"/>
          <w:sz w:val="32"/>
          <w:szCs w:val="32"/>
        </w:rPr>
        <w:t>az UEFA Európa-liga szponzoraként</w:t>
      </w:r>
    </w:p>
    <w:p w:rsidR="00DA604E" w:rsidRDefault="00DA604E">
      <w:pPr>
        <w:tabs>
          <w:tab w:val="left" w:pos="142"/>
        </w:tabs>
        <w:jc w:val="center"/>
        <w:rPr>
          <w:sz w:val="22"/>
          <w:szCs w:val="22"/>
        </w:rPr>
      </w:pPr>
    </w:p>
    <w:p w:rsidR="00DA604E" w:rsidRDefault="004252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Az abroncsgyártó Hankook az előző szezonban ismét sikeresen szerepelt az UEFA Európa-ligahivatalos szponzoraként. A vállalat elkötelezett munkával sokrétű, egész Európát lázba hozó projekteket és kezdeményezéseket indított el a szezon során. A számok magukért beszélnek. Több mint 100 000 európai focirajongó vett részt a Hankook által meghirdetett online nyereményjátékokban. Ehhez az egyedülálló fődíjak is hozzájárultak: VIP-utazás az Azerbajdzsán fővárosában, Bakuban megrendezett döntőre, valamint a </w:t>
      </w:r>
      <w:r>
        <w:rPr>
          <w:b/>
          <w:i/>
          <w:sz w:val="22"/>
          <w:szCs w:val="22"/>
        </w:rPr>
        <w:t>Fans Final</w:t>
      </w:r>
      <w:r>
        <w:rPr>
          <w:b/>
          <w:sz w:val="22"/>
          <w:szCs w:val="22"/>
        </w:rPr>
        <w:t>re, ahol a nyereményjáték nyertesei ugyanazon a pályán játszhattak, ahol előző nap a döntőbe került két csapat küzdött meg egymással.</w:t>
      </w:r>
    </w:p>
    <w:p w:rsidR="00DA604E" w:rsidRPr="00425294" w:rsidRDefault="00DA604E"/>
    <w:p w:rsidR="00DA604E" w:rsidRDefault="00425294">
      <w:pPr>
        <w:spacing w:line="276" w:lineRule="auto"/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Neu-Isenburg, Németország, 2019. június </w:t>
      </w:r>
      <w:r w:rsidR="00223EA4">
        <w:rPr>
          <w:b/>
          <w:i/>
          <w:sz w:val="21"/>
          <w:szCs w:val="21"/>
        </w:rPr>
        <w:t>1</w:t>
      </w:r>
      <w:r w:rsidR="00A4173E">
        <w:rPr>
          <w:b/>
          <w:i/>
          <w:sz w:val="21"/>
          <w:szCs w:val="21"/>
        </w:rPr>
        <w:t>2</w:t>
      </w:r>
      <w:bookmarkStart w:id="0" w:name="_GoBack"/>
      <w:bookmarkEnd w:id="0"/>
      <w:r>
        <w:rPr>
          <w:b/>
          <w:i/>
          <w:sz w:val="21"/>
          <w:szCs w:val="21"/>
        </w:rPr>
        <w:t>.</w:t>
      </w:r>
      <w:r>
        <w:rPr>
          <w:sz w:val="21"/>
          <w:szCs w:val="21"/>
        </w:rPr>
        <w:t xml:space="preserve"> – A Hankook prémium abroncsgyártó ismét sikeres szezont tudhat maga mögött az UEFA Európa-liga hivatalos és elkötelezett szponzoraként. A futball rajongóinak Európa-szerte lehetőségük nyílt arra, hogy a „Hankook Jegyaréna” online felületén és az abroncsgyártó európai Facebook-oldalain a csoportkör és a kieséses szakasz meccseire, valamint a döntőre VIP-jegyeket nyerjenek. A Hankook a szezon folyamán több mint 400 VIP-jegyet sorsolt ki, emellett a 15 meccsnap során számos egyéb nyereményt is kiosztottak, sőt, 20 jegy már gazdára talált a következő, 2019-20-as szezonra is.</w:t>
      </w:r>
    </w:p>
    <w:p w:rsidR="00DA604E" w:rsidRDefault="00DA604E">
      <w:pPr>
        <w:spacing w:line="276" w:lineRule="auto"/>
        <w:rPr>
          <w:sz w:val="21"/>
          <w:szCs w:val="21"/>
        </w:rPr>
      </w:pPr>
    </w:p>
    <w:p w:rsidR="00DA604E" w:rsidRDefault="00425294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A május 29-i döntő előtt pedig hatalmas érdeklődés övezte a vállalat közösségi oldalait. A Hankook „10 Stops to Baku” kampányával a szurkolók virtuálisan részt vehettek a Bakuba vezető utazáson. Tíz jól ismert európai városban – Frankfurt am Mainban, Münchenben, Mariborban, Zágrábban, Belgrádban, Szófiában, Isztambulban, Trabzonban és Tbilisziben – készített képeslapok jelezték a bakui döntőig vezető út állomásait, a posztokat pedig izgalmas nyereményjátékok kísérték. A “Hankook Jegyaréna” (https://hankook.win/hu/) felületén a pályázók akár a döntő másnapján, szintén Bakuban megrendezésre került Fans Finalra is helyet szerezhettek. A nyerteseket Deco, az egykori profi játékos, valamint az ismert youtuber, Behzinga készítette fel a mérkőzésre, amelyet a bakui Olympic Stadiumban játszottak le.</w:t>
      </w:r>
    </w:p>
    <w:p w:rsidR="00DA604E" w:rsidRDefault="00DA604E">
      <w:pPr>
        <w:spacing w:line="276" w:lineRule="auto"/>
        <w:rPr>
          <w:sz w:val="21"/>
          <w:szCs w:val="21"/>
        </w:rPr>
      </w:pPr>
    </w:p>
    <w:p w:rsidR="00DA604E" w:rsidRDefault="00425294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„Az UEFA Európa-ligáhozfűződő, hosszú távú együttműködésünk egyedi, egész Európát lefedő felületet biztosít ahhoz, hogy folyamatosan bővítsük a márkánk ismertségét a kontinensen. Ezért örülünk annyira, hogy a szurkolók ilyen jelentős számban vettek részt a Hankook európai felületein meghirdetett ajánlatokban és nyereményjátékokban. Ez végső soron megerősíti a legrangosabb európai futball melletti hosszú távú elköteleződésünket – nyilatkozta Kim Han-Jun, a Hankook Tire Europe elnöke.</w:t>
      </w:r>
    </w:p>
    <w:p w:rsidR="00DA604E" w:rsidRDefault="00DA604E">
      <w:pPr>
        <w:spacing w:line="276" w:lineRule="auto"/>
        <w:rPr>
          <w:sz w:val="21"/>
          <w:szCs w:val="21"/>
        </w:rPr>
      </w:pPr>
    </w:p>
    <w:p w:rsidR="00DA604E" w:rsidRDefault="00425294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A Hankook abroncsgyártó a 2012-2013-as szezon óta az UEFA Európa-liga egyik főszponzora, így jelenleg a vállalat a sorozat legrégebbi támogatója. Az UEFA Európa-liga keretén belül 64 csapat küzd meg egymással 205 mérkőzés során – ez az UEFA által szervezett legnagyobb bajnokság, ami világviszonylatban is szinte egyedülálló. A döntő mérkőzést több mint 60 millió néző követte a televízió képernyői előtt. 2016-ban a Hankook elindította az UEFA Európa-liga meccseit kísérő "Centre Circle Carrier Program”-ot. A program keretében 14 és 20 év közötti fiatalok vehetnek részt a mérkőzésen: ők vihetik be a meccs kezdete előtt a kezdőkörbe a zászlót. A Hankook ezzel a biztonságos vezetés fontosságára szeretné felhívni a figyelmet, ugyanis a programban részt vevő fiatalok közúti balesetben vesztették el egy szerettüket. </w:t>
      </w:r>
    </w:p>
    <w:p w:rsidR="00DA604E" w:rsidRDefault="00DA604E">
      <w:pPr>
        <w:spacing w:line="276" w:lineRule="auto"/>
        <w:rPr>
          <w:sz w:val="21"/>
          <w:szCs w:val="21"/>
        </w:rPr>
      </w:pPr>
    </w:p>
    <w:p w:rsidR="00223EA4" w:rsidRDefault="00223EA4">
      <w:pPr>
        <w:widowControl/>
        <w:spacing w:line="320" w:lineRule="auto"/>
        <w:jc w:val="center"/>
        <w:rPr>
          <w:sz w:val="21"/>
          <w:szCs w:val="21"/>
        </w:rPr>
      </w:pPr>
    </w:p>
    <w:p w:rsidR="00223EA4" w:rsidRDefault="00223EA4">
      <w:pPr>
        <w:widowControl/>
        <w:spacing w:line="320" w:lineRule="auto"/>
        <w:jc w:val="center"/>
        <w:rPr>
          <w:sz w:val="21"/>
          <w:szCs w:val="21"/>
        </w:rPr>
      </w:pPr>
    </w:p>
    <w:p w:rsidR="00223EA4" w:rsidRDefault="00223EA4">
      <w:pPr>
        <w:widowControl/>
        <w:spacing w:line="320" w:lineRule="auto"/>
        <w:jc w:val="center"/>
        <w:rPr>
          <w:sz w:val="21"/>
          <w:szCs w:val="21"/>
        </w:rPr>
      </w:pPr>
    </w:p>
    <w:p w:rsidR="00223EA4" w:rsidRDefault="00223EA4">
      <w:pPr>
        <w:widowControl/>
        <w:spacing w:line="320" w:lineRule="auto"/>
        <w:jc w:val="center"/>
        <w:rPr>
          <w:sz w:val="21"/>
          <w:szCs w:val="21"/>
        </w:rPr>
      </w:pPr>
    </w:p>
    <w:p w:rsidR="00223EA4" w:rsidRDefault="00223EA4">
      <w:pPr>
        <w:widowControl/>
        <w:spacing w:line="320" w:lineRule="auto"/>
        <w:jc w:val="center"/>
        <w:rPr>
          <w:sz w:val="21"/>
          <w:szCs w:val="21"/>
        </w:rPr>
      </w:pPr>
    </w:p>
    <w:p w:rsidR="00223EA4" w:rsidRDefault="00223EA4">
      <w:pPr>
        <w:widowControl/>
        <w:spacing w:line="320" w:lineRule="auto"/>
        <w:jc w:val="center"/>
        <w:rPr>
          <w:sz w:val="21"/>
          <w:szCs w:val="21"/>
        </w:rPr>
      </w:pPr>
    </w:p>
    <w:p w:rsidR="00223EA4" w:rsidRDefault="00223EA4">
      <w:pPr>
        <w:widowControl/>
        <w:spacing w:line="320" w:lineRule="auto"/>
        <w:jc w:val="center"/>
        <w:rPr>
          <w:sz w:val="21"/>
          <w:szCs w:val="21"/>
        </w:rPr>
      </w:pPr>
    </w:p>
    <w:p w:rsidR="00223EA4" w:rsidRDefault="00223EA4">
      <w:pPr>
        <w:widowControl/>
        <w:spacing w:line="320" w:lineRule="auto"/>
        <w:jc w:val="center"/>
        <w:rPr>
          <w:sz w:val="21"/>
          <w:szCs w:val="21"/>
        </w:rPr>
      </w:pPr>
    </w:p>
    <w:p w:rsidR="00223EA4" w:rsidRDefault="00223EA4">
      <w:pPr>
        <w:widowControl/>
        <w:spacing w:line="320" w:lineRule="auto"/>
        <w:jc w:val="center"/>
        <w:rPr>
          <w:sz w:val="21"/>
          <w:szCs w:val="21"/>
        </w:rPr>
      </w:pPr>
    </w:p>
    <w:p w:rsidR="00DA604E" w:rsidRDefault="00425294">
      <w:pPr>
        <w:widowControl/>
        <w:spacing w:line="32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###</w:t>
      </w:r>
    </w:p>
    <w:p w:rsidR="00223EA4" w:rsidRPr="00500128" w:rsidRDefault="00223EA4" w:rsidP="00223EA4">
      <w:pPr>
        <w:rPr>
          <w:rFonts w:eastAsia="Malgun Gothic"/>
          <w:b/>
          <w:sz w:val="21"/>
          <w:szCs w:val="21"/>
          <w:lang w:val="hu-HU"/>
        </w:rPr>
      </w:pPr>
      <w:r w:rsidRPr="00500128">
        <w:rPr>
          <w:rFonts w:eastAsia="Malgun Gothic"/>
          <w:b/>
          <w:sz w:val="21"/>
          <w:szCs w:val="21"/>
          <w:lang w:val="hu-HU"/>
        </w:rPr>
        <w:t>A Hankook Tire vállalatról</w:t>
      </w:r>
    </w:p>
    <w:p w:rsidR="00223EA4" w:rsidRPr="00500128" w:rsidRDefault="00223EA4" w:rsidP="00223EA4">
      <w:pPr>
        <w:widowControl/>
        <w:suppressAutoHyphens/>
        <w:rPr>
          <w:sz w:val="21"/>
          <w:szCs w:val="21"/>
          <w:lang w:val="hu-HU"/>
        </w:rPr>
      </w:pPr>
    </w:p>
    <w:p w:rsidR="00223EA4" w:rsidRDefault="00223EA4" w:rsidP="00223EA4">
      <w:pPr>
        <w:suppressAutoHyphens/>
        <w:rPr>
          <w:sz w:val="21"/>
          <w:szCs w:val="21"/>
          <w:lang w:val="hu-HU"/>
        </w:rPr>
      </w:pPr>
      <w:r w:rsidRPr="00F83B04">
        <w:rPr>
          <w:sz w:val="21"/>
          <w:szCs w:val="21"/>
          <w:lang w:val="hu-HU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223EA4" w:rsidRPr="00F83B04" w:rsidRDefault="00223EA4" w:rsidP="00223EA4">
      <w:pPr>
        <w:suppressAutoHyphens/>
        <w:rPr>
          <w:sz w:val="21"/>
          <w:szCs w:val="21"/>
          <w:lang w:val="hu-HU"/>
        </w:rPr>
      </w:pPr>
    </w:p>
    <w:p w:rsidR="00223EA4" w:rsidRDefault="00223EA4" w:rsidP="00223EA4">
      <w:pPr>
        <w:suppressAutoHyphens/>
        <w:rPr>
          <w:sz w:val="21"/>
          <w:szCs w:val="21"/>
          <w:lang w:val="hu-HU"/>
        </w:rPr>
      </w:pPr>
      <w:r w:rsidRPr="00F83B04">
        <w:rPr>
          <w:sz w:val="21"/>
          <w:szCs w:val="21"/>
          <w:lang w:val="hu-HU"/>
        </w:rPr>
        <w:t>A Hankook Tire több mint 180 országba szállítja termékeit, és világszinten hozzávetőlegesen 2</w:t>
      </w:r>
      <w:r>
        <w:rPr>
          <w:sz w:val="21"/>
          <w:szCs w:val="21"/>
          <w:lang w:val="hu-HU"/>
        </w:rPr>
        <w:t>1</w:t>
      </w:r>
      <w:r w:rsidRPr="00F83B04">
        <w:rPr>
          <w:sz w:val="21"/>
          <w:szCs w:val="21"/>
          <w:lang w:val="hu-HU"/>
        </w:rPr>
        <w:t>.000 alkalmazottat foglalkoztat. A világ számos vezető autógyártója első gyári felszerelésként is a Hankook Tire abroncsait választja.</w:t>
      </w:r>
    </w:p>
    <w:p w:rsidR="00223EA4" w:rsidRPr="00F83B04" w:rsidRDefault="00223EA4" w:rsidP="00223EA4">
      <w:pPr>
        <w:suppressAutoHyphens/>
        <w:rPr>
          <w:sz w:val="21"/>
          <w:szCs w:val="21"/>
          <w:lang w:val="hu-HU"/>
        </w:rPr>
      </w:pPr>
    </w:p>
    <w:p w:rsidR="00223EA4" w:rsidRDefault="00223EA4" w:rsidP="00223EA4">
      <w:pPr>
        <w:suppressAutoHyphens/>
        <w:rPr>
          <w:sz w:val="21"/>
          <w:szCs w:val="21"/>
          <w:lang w:val="hu-HU"/>
        </w:rPr>
      </w:pPr>
      <w:r w:rsidRPr="00F83B04">
        <w:rPr>
          <w:sz w:val="21"/>
          <w:szCs w:val="21"/>
          <w:lang w:val="hu-HU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223EA4" w:rsidRPr="00F83B04" w:rsidRDefault="00223EA4" w:rsidP="00223EA4">
      <w:pPr>
        <w:suppressAutoHyphens/>
        <w:rPr>
          <w:sz w:val="21"/>
          <w:szCs w:val="21"/>
          <w:lang w:val="hu-HU"/>
        </w:rPr>
      </w:pPr>
    </w:p>
    <w:p w:rsidR="00223EA4" w:rsidRDefault="00223EA4" w:rsidP="00223EA4">
      <w:pPr>
        <w:suppressAutoHyphens/>
        <w:rPr>
          <w:sz w:val="21"/>
          <w:szCs w:val="21"/>
          <w:lang w:val="hu-HU"/>
        </w:rPr>
      </w:pPr>
      <w:r w:rsidRPr="00F83B04">
        <w:rPr>
          <w:sz w:val="21"/>
          <w:szCs w:val="21"/>
          <w:lang w:val="hu-HU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223EA4" w:rsidRPr="00F83B04" w:rsidRDefault="00223EA4" w:rsidP="00223EA4">
      <w:pPr>
        <w:suppressAutoHyphens/>
        <w:rPr>
          <w:sz w:val="21"/>
          <w:szCs w:val="21"/>
          <w:lang w:val="hu-HU"/>
        </w:rPr>
      </w:pPr>
    </w:p>
    <w:p w:rsidR="00223EA4" w:rsidRDefault="00223EA4" w:rsidP="00223EA4">
      <w:pPr>
        <w:suppressAutoHyphens/>
        <w:rPr>
          <w:sz w:val="21"/>
          <w:szCs w:val="21"/>
          <w:lang w:val="hu-HU"/>
        </w:rPr>
      </w:pPr>
      <w:r w:rsidRPr="00F83B04">
        <w:rPr>
          <w:sz w:val="21"/>
          <w:szCs w:val="21"/>
          <w:lang w:val="hu-HU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:rsidR="00223EA4" w:rsidRPr="00500128" w:rsidRDefault="00223EA4" w:rsidP="00223EA4">
      <w:pPr>
        <w:suppressAutoHyphens/>
        <w:rPr>
          <w:sz w:val="21"/>
          <w:szCs w:val="21"/>
          <w:lang w:val="hu-HU"/>
        </w:rPr>
      </w:pPr>
    </w:p>
    <w:p w:rsidR="00223EA4" w:rsidRPr="00500128" w:rsidRDefault="00223EA4" w:rsidP="00223EA4">
      <w:pPr>
        <w:suppressAutoHyphens/>
        <w:rPr>
          <w:rStyle w:val="Hyperlink"/>
          <w:sz w:val="21"/>
          <w:szCs w:val="21"/>
          <w:lang w:val="hu-HU"/>
        </w:rPr>
      </w:pPr>
      <w:r w:rsidRPr="00500128">
        <w:rPr>
          <w:sz w:val="21"/>
          <w:szCs w:val="21"/>
          <w:lang w:val="hu-HU"/>
        </w:rPr>
        <w:t xml:space="preserve">További információ: </w:t>
      </w:r>
      <w:hyperlink r:id="rId6" w:history="1">
        <w:r w:rsidRPr="00500128">
          <w:rPr>
            <w:rStyle w:val="Hyperlink"/>
            <w:sz w:val="21"/>
            <w:szCs w:val="21"/>
            <w:lang w:val="hu-HU"/>
          </w:rPr>
          <w:t>http://www.hankooktire-mediacenter.com</w:t>
        </w:r>
      </w:hyperlink>
      <w:r w:rsidRPr="00500128">
        <w:rPr>
          <w:sz w:val="21"/>
          <w:szCs w:val="21"/>
          <w:lang w:val="hu-HU"/>
        </w:rPr>
        <w:t xml:space="preserve"> és </w:t>
      </w:r>
      <w:hyperlink r:id="rId7" w:history="1">
        <w:r w:rsidRPr="00500128">
          <w:rPr>
            <w:rStyle w:val="Hyperlink"/>
            <w:sz w:val="21"/>
            <w:szCs w:val="21"/>
            <w:lang w:val="hu-HU"/>
          </w:rPr>
          <w:t>www.hankooktire.com</w:t>
        </w:r>
      </w:hyperlink>
    </w:p>
    <w:p w:rsidR="00223EA4" w:rsidRPr="00500128" w:rsidRDefault="00223EA4" w:rsidP="00223EA4">
      <w:pPr>
        <w:suppressAutoHyphens/>
        <w:rPr>
          <w:rStyle w:val="Hyperlink"/>
          <w:sz w:val="21"/>
          <w:szCs w:val="21"/>
          <w:lang w:val="hu-HU"/>
        </w:rPr>
      </w:pPr>
    </w:p>
    <w:p w:rsidR="00223EA4" w:rsidRPr="00500128" w:rsidRDefault="00223EA4" w:rsidP="00223EA4">
      <w:pPr>
        <w:rPr>
          <w:b/>
          <w:bCs/>
          <w:szCs w:val="24"/>
          <w:lang w:val="hu-HU" w:eastAsia="ko-KR"/>
        </w:rPr>
      </w:pPr>
      <w:r w:rsidRPr="00500128">
        <w:rPr>
          <w:b/>
          <w:bCs/>
          <w:szCs w:val="24"/>
          <w:lang w:val="hu-HU" w:eastAsia="ko-KR"/>
        </w:rPr>
        <w:t>Kapcsolat:</w:t>
      </w:r>
    </w:p>
    <w:p w:rsidR="00223EA4" w:rsidRPr="00500128" w:rsidRDefault="00223EA4" w:rsidP="00223EA4">
      <w:pPr>
        <w:rPr>
          <w:sz w:val="21"/>
          <w:szCs w:val="21"/>
          <w:lang w:val="hu-HU" w:eastAsia="ko-KR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223EA4" w:rsidRPr="002D3489" w:rsidTr="00AA64A6">
        <w:tc>
          <w:tcPr>
            <w:tcW w:w="9437" w:type="dxa"/>
            <w:gridSpan w:val="3"/>
            <w:shd w:val="clear" w:color="auto" w:fill="F2F2F2"/>
          </w:tcPr>
          <w:p w:rsidR="00223EA4" w:rsidRPr="00500128" w:rsidRDefault="00223EA4" w:rsidP="00AA64A6">
            <w:pPr>
              <w:spacing w:line="320" w:lineRule="exact"/>
              <w:rPr>
                <w:sz w:val="16"/>
                <w:szCs w:val="16"/>
                <w:lang w:val="hu-HU" w:eastAsia="ko-KR"/>
              </w:rPr>
            </w:pPr>
            <w:r w:rsidRPr="00500128">
              <w:rPr>
                <w:b/>
                <w:bCs/>
                <w:sz w:val="16"/>
                <w:szCs w:val="16"/>
                <w:lang w:val="hu-HU" w:eastAsia="ko-KR"/>
              </w:rPr>
              <w:t xml:space="preserve">Hankook Tire Magyarország Kft. | </w:t>
            </w:r>
            <w:r w:rsidRPr="00500128">
              <w:rPr>
                <w:bCs/>
                <w:sz w:val="16"/>
                <w:szCs w:val="16"/>
                <w:lang w:val="hu-HU" w:eastAsia="ko-KR"/>
              </w:rPr>
              <w:t>Kommunikációs Osztály</w:t>
            </w:r>
            <w:r w:rsidRPr="00500128">
              <w:rPr>
                <w:b/>
                <w:bCs/>
                <w:sz w:val="16"/>
                <w:szCs w:val="16"/>
                <w:lang w:val="hu-HU" w:eastAsia="ko-KR"/>
              </w:rPr>
              <w:t xml:space="preserve"> | </w:t>
            </w:r>
            <w:r w:rsidRPr="00500128">
              <w:rPr>
                <w:sz w:val="16"/>
                <w:szCs w:val="16"/>
                <w:lang w:val="hu-HU" w:eastAsia="ko-KR"/>
              </w:rPr>
              <w:t>2459 Rácalmás, Hankook tér 1.</w:t>
            </w:r>
          </w:p>
          <w:p w:rsidR="00223EA4" w:rsidRPr="00500128" w:rsidRDefault="00223EA4" w:rsidP="00AA64A6">
            <w:pPr>
              <w:spacing w:line="200" w:lineRule="exact"/>
              <w:rPr>
                <w:sz w:val="16"/>
                <w:szCs w:val="16"/>
                <w:lang w:val="hu-HU" w:eastAsia="ko-KR"/>
              </w:rPr>
            </w:pPr>
          </w:p>
        </w:tc>
      </w:tr>
      <w:tr w:rsidR="00223EA4" w:rsidRPr="00500128" w:rsidTr="00AA64A6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223EA4" w:rsidRPr="00500128" w:rsidRDefault="00223EA4" w:rsidP="00AA64A6">
            <w:pPr>
              <w:spacing w:line="200" w:lineRule="exact"/>
              <w:jc w:val="left"/>
              <w:rPr>
                <w:b/>
                <w:sz w:val="16"/>
                <w:szCs w:val="16"/>
                <w:lang w:val="hu-HU" w:eastAsia="ko-KR"/>
              </w:rPr>
            </w:pPr>
            <w:r w:rsidRPr="00500128">
              <w:rPr>
                <w:b/>
                <w:sz w:val="16"/>
                <w:szCs w:val="16"/>
                <w:lang w:val="hu-HU" w:eastAsia="ko-KR"/>
              </w:rPr>
              <w:t>Roy Katalin</w:t>
            </w:r>
          </w:p>
          <w:p w:rsidR="00223EA4" w:rsidRPr="00500128" w:rsidRDefault="00223EA4" w:rsidP="00AA64A6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  <w:r w:rsidRPr="00500128">
              <w:rPr>
                <w:sz w:val="16"/>
                <w:szCs w:val="16"/>
                <w:lang w:val="hu-HU" w:eastAsia="ko-KR"/>
              </w:rPr>
              <w:t>kommunikációs vezető</w:t>
            </w:r>
          </w:p>
          <w:p w:rsidR="00223EA4" w:rsidRPr="00500128" w:rsidRDefault="00A4173E" w:rsidP="00AA64A6">
            <w:pPr>
              <w:jc w:val="left"/>
              <w:rPr>
                <w:sz w:val="16"/>
                <w:szCs w:val="16"/>
                <w:lang w:val="hu-HU" w:eastAsia="ko-KR"/>
              </w:rPr>
            </w:pPr>
            <w:hyperlink r:id="rId8" w:history="1">
              <w:r w:rsidR="00223EA4" w:rsidRPr="00500128">
                <w:rPr>
                  <w:color w:val="0000FF"/>
                  <w:sz w:val="16"/>
                  <w:szCs w:val="16"/>
                  <w:u w:val="single"/>
                  <w:lang w:val="hu-HU" w:eastAsia="ko-KR"/>
                </w:rPr>
                <w:t>roykatalin@hankooktire.com</w:t>
              </w:r>
            </w:hyperlink>
          </w:p>
          <w:p w:rsidR="00223EA4" w:rsidRPr="00500128" w:rsidRDefault="00223EA4" w:rsidP="00AA64A6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223EA4" w:rsidRPr="00500128" w:rsidRDefault="00223EA4" w:rsidP="00AA64A6">
            <w:pPr>
              <w:spacing w:line="200" w:lineRule="exact"/>
              <w:jc w:val="left"/>
              <w:rPr>
                <w:b/>
                <w:sz w:val="16"/>
                <w:szCs w:val="16"/>
                <w:lang w:val="hu-HU" w:eastAsia="ko-KR"/>
              </w:rPr>
            </w:pPr>
            <w:r w:rsidRPr="00500128">
              <w:rPr>
                <w:b/>
                <w:sz w:val="16"/>
                <w:szCs w:val="16"/>
                <w:lang w:val="hu-HU" w:eastAsia="ko-KR"/>
              </w:rPr>
              <w:t>Serfőző Zsóka</w:t>
            </w:r>
          </w:p>
          <w:p w:rsidR="00223EA4" w:rsidRPr="00500128" w:rsidRDefault="00223EA4" w:rsidP="00AA64A6">
            <w:pPr>
              <w:spacing w:line="200" w:lineRule="exact"/>
              <w:jc w:val="left"/>
              <w:rPr>
                <w:sz w:val="16"/>
                <w:szCs w:val="16"/>
                <w:lang w:val="hu-HU"/>
              </w:rPr>
            </w:pPr>
            <w:r w:rsidRPr="00500128">
              <w:rPr>
                <w:sz w:val="16"/>
                <w:szCs w:val="16"/>
                <w:lang w:val="hu-HU"/>
              </w:rPr>
              <w:t>kommunikációs szakértő</w:t>
            </w:r>
          </w:p>
          <w:p w:rsidR="00223EA4" w:rsidRPr="00500128" w:rsidRDefault="00223EA4" w:rsidP="00AA64A6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  <w:r w:rsidRPr="00500128">
              <w:rPr>
                <w:sz w:val="16"/>
                <w:szCs w:val="16"/>
                <w:lang w:val="hu-HU" w:eastAsia="ko-KR"/>
              </w:rPr>
              <w:t>Tel.: +36 25 556 091</w:t>
            </w:r>
          </w:p>
          <w:p w:rsidR="00223EA4" w:rsidRPr="00500128" w:rsidRDefault="00223EA4" w:rsidP="00AA64A6">
            <w:pPr>
              <w:spacing w:line="200" w:lineRule="exact"/>
              <w:jc w:val="left"/>
              <w:rPr>
                <w:color w:val="0070C0"/>
                <w:sz w:val="16"/>
                <w:szCs w:val="16"/>
                <w:lang w:val="hu-HU" w:eastAsia="ko-KR"/>
              </w:rPr>
            </w:pPr>
            <w:r w:rsidRPr="00500128">
              <w:rPr>
                <w:color w:val="0000FF"/>
                <w:sz w:val="16"/>
                <w:szCs w:val="16"/>
                <w:u w:val="single"/>
                <w:lang w:val="hu-HU" w:eastAsia="ko-KR"/>
              </w:rPr>
              <w:t>zsoka.serfozo@hankooktire.com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223EA4" w:rsidRPr="00500128" w:rsidRDefault="00223EA4" w:rsidP="00AA64A6">
            <w:pPr>
              <w:spacing w:line="200" w:lineRule="exact"/>
              <w:jc w:val="left"/>
              <w:rPr>
                <w:b/>
                <w:sz w:val="16"/>
                <w:szCs w:val="16"/>
                <w:lang w:val="hu-HU" w:eastAsia="ko-KR"/>
              </w:rPr>
            </w:pPr>
            <w:r w:rsidRPr="00500128">
              <w:rPr>
                <w:b/>
                <w:sz w:val="16"/>
                <w:szCs w:val="16"/>
                <w:lang w:val="hu-HU" w:eastAsia="ko-KR"/>
              </w:rPr>
              <w:t>Boda Bence</w:t>
            </w:r>
          </w:p>
          <w:p w:rsidR="00223EA4" w:rsidRPr="00500128" w:rsidRDefault="00223EA4" w:rsidP="00AA64A6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  <w:r w:rsidRPr="00500128">
              <w:rPr>
                <w:sz w:val="16"/>
                <w:szCs w:val="16"/>
                <w:lang w:val="hu-HU" w:eastAsia="ko-KR"/>
              </w:rPr>
              <w:t>kommunikációs asszisztens</w:t>
            </w:r>
          </w:p>
          <w:p w:rsidR="00223EA4" w:rsidRPr="00500128" w:rsidRDefault="00223EA4" w:rsidP="00AA64A6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  <w:r w:rsidRPr="00500128">
              <w:rPr>
                <w:sz w:val="16"/>
                <w:szCs w:val="16"/>
                <w:lang w:val="hu-HU" w:eastAsia="ko-KR"/>
              </w:rPr>
              <w:t>Tel.: +36 25 556 096</w:t>
            </w:r>
          </w:p>
          <w:p w:rsidR="00223EA4" w:rsidRPr="00500128" w:rsidRDefault="00223EA4" w:rsidP="00AA64A6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  <w:r w:rsidRPr="00500128">
              <w:rPr>
                <w:color w:val="0000FF"/>
                <w:sz w:val="16"/>
                <w:szCs w:val="16"/>
                <w:u w:val="single"/>
                <w:lang w:val="hu-HU" w:eastAsia="ko-KR"/>
              </w:rPr>
              <w:t>bence.boda@hankooktire.com</w:t>
            </w:r>
          </w:p>
        </w:tc>
      </w:tr>
    </w:tbl>
    <w:p w:rsidR="00223EA4" w:rsidRDefault="00223EA4" w:rsidP="00223EA4">
      <w:pPr>
        <w:widowControl/>
        <w:spacing w:line="320" w:lineRule="auto"/>
        <w:jc w:val="left"/>
        <w:rPr>
          <w:sz w:val="21"/>
          <w:szCs w:val="21"/>
        </w:rPr>
      </w:pPr>
    </w:p>
    <w:sectPr w:rsidR="00223EA4">
      <w:headerReference w:type="default" r:id="rId9"/>
      <w:pgSz w:w="11906" w:h="16838"/>
      <w:pgMar w:top="1819" w:right="1134" w:bottom="284" w:left="1134" w:header="83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B7C" w:rsidRDefault="00425294">
      <w:r>
        <w:separator/>
      </w:r>
    </w:p>
  </w:endnote>
  <w:endnote w:type="continuationSeparator" w:id="0">
    <w:p w:rsidR="00426B7C" w:rsidRDefault="0042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B7C" w:rsidRDefault="00425294">
      <w:r>
        <w:separator/>
      </w:r>
    </w:p>
  </w:footnote>
  <w:footnote w:type="continuationSeparator" w:id="0">
    <w:p w:rsidR="00426B7C" w:rsidRDefault="0042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04E" w:rsidRDefault="00425294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sl-SI"/>
      </w:rPr>
      <w:drawing>
        <wp:inline distT="0" distB="0" distL="0" distR="0">
          <wp:extent cx="6115050" cy="695325"/>
          <wp:effectExtent l="0" t="0" r="0" b="0"/>
          <wp:docPr id="1" name="image1.png" descr="K:\EUR) Corporate Communications\Press Releases\Templates\Header\Neue Header mit neuem Logo\EU_PR_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:\EUR) Corporate Communications\Press Releases\Templates\Header\Neue Header mit neuem Logo\EU_PR_Header.png"/>
                  <pic:cNvPicPr preferRelativeResize="0"/>
                </pic:nvPicPr>
                <pic:blipFill>
                  <a:blip r:embed="rId1"/>
                  <a:srcRect t="177" b="177"/>
                  <a:stretch>
                    <a:fillRect/>
                  </a:stretch>
                </pic:blipFill>
                <pic:spPr>
                  <a:xfrm>
                    <a:off x="0" y="0"/>
                    <a:ext cx="611505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4E"/>
    <w:rsid w:val="00223EA4"/>
    <w:rsid w:val="00425294"/>
    <w:rsid w:val="00426B7C"/>
    <w:rsid w:val="00A4173E"/>
    <w:rsid w:val="00D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2F45"/>
  <w15:docId w15:val="{EB3B3C68-C44B-4249-B3F0-56A9B21A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lang w:val="hu" w:eastAsia="sl-SI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2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29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23E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katalin@hankookti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nkooktire-e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kooktire-mediacent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5611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Ralf Vester</cp:lastModifiedBy>
  <cp:revision>4</cp:revision>
  <dcterms:created xsi:type="dcterms:W3CDTF">2019-06-06T12:07:00Z</dcterms:created>
  <dcterms:modified xsi:type="dcterms:W3CDTF">2019-06-12T06:25:00Z</dcterms:modified>
</cp:coreProperties>
</file>