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E1099" w:rsidRDefault="000E1099" w:rsidP="00310DD9">
      <w:pPr>
        <w:tabs>
          <w:tab w:val="left" w:pos="142"/>
        </w:tabs>
        <w:rPr>
          <w:rFonts w:ascii="Helvetica" w:hAnsi="Helvetica"/>
          <w:b/>
          <w:color w:val="FF6600"/>
          <w:sz w:val="32"/>
          <w:lang w:val="de-DE"/>
        </w:rPr>
      </w:pPr>
    </w:p>
    <w:p w:rsidR="005E2C3D" w:rsidRDefault="005E2C3D" w:rsidP="00343E64">
      <w:pPr>
        <w:tabs>
          <w:tab w:val="left" w:pos="142"/>
        </w:tabs>
        <w:jc w:val="center"/>
        <w:rPr>
          <w:rFonts w:ascii="Helvetica" w:hAnsi="Helvetica"/>
          <w:b/>
          <w:color w:val="FF6600"/>
          <w:sz w:val="32"/>
        </w:rPr>
      </w:pPr>
      <w:r>
        <w:rPr>
          <w:rFonts w:ascii="Helvetica" w:hAnsi="Helvetica"/>
          <w:b/>
          <w:color w:val="FF6600"/>
          <w:sz w:val="32"/>
        </w:rPr>
        <w:t>First Hankook bus tyre specification</w:t>
      </w:r>
    </w:p>
    <w:p w:rsidR="00AE1D42" w:rsidRDefault="005E2C3D" w:rsidP="00343E64">
      <w:pPr>
        <w:tabs>
          <w:tab w:val="left" w:pos="142"/>
        </w:tabs>
        <w:jc w:val="center"/>
        <w:rPr>
          <w:rFonts w:ascii="Helvetica" w:hAnsi="Helvetica"/>
          <w:b/>
          <w:color w:val="FF6600"/>
          <w:sz w:val="32"/>
        </w:rPr>
      </w:pPr>
      <w:r>
        <w:rPr>
          <w:rFonts w:ascii="Helvetica" w:hAnsi="Helvetica"/>
          <w:b/>
          <w:color w:val="FF6600"/>
          <w:sz w:val="32"/>
        </w:rPr>
        <w:t xml:space="preserve">for electromotive use </w:t>
      </w:r>
    </w:p>
    <w:p w:rsidR="00343E64" w:rsidRPr="00EB3A56" w:rsidRDefault="00343E64" w:rsidP="00343E64">
      <w:pPr>
        <w:tabs>
          <w:tab w:val="left" w:pos="142"/>
        </w:tabs>
        <w:jc w:val="center"/>
        <w:rPr>
          <w:rFonts w:ascii="Helvetica" w:hAnsi="Helvetica"/>
          <w:b/>
          <w:color w:val="FF6600"/>
          <w:sz w:val="32"/>
        </w:rPr>
      </w:pPr>
    </w:p>
    <w:p w:rsidR="00AE1D42" w:rsidRDefault="005E2C3D" w:rsidP="008F4254">
      <w:pPr>
        <w:spacing w:line="276" w:lineRule="auto"/>
        <w:rPr>
          <w:b/>
          <w:color w:val="000000"/>
          <w:sz w:val="22"/>
          <w:szCs w:val="22"/>
          <w:bdr w:val="none" w:sz="0" w:space="0" w:color="auto" w:frame="1"/>
        </w:rPr>
      </w:pPr>
      <w:r>
        <w:rPr>
          <w:b/>
          <w:color w:val="000000"/>
          <w:sz w:val="22"/>
          <w:szCs w:val="22"/>
          <w:bdr w:val="none" w:sz="0" w:space="0" w:color="auto" w:frame="1"/>
        </w:rPr>
        <w:t xml:space="preserve">Hankook is presenting </w:t>
      </w:r>
      <w:r w:rsidR="00B912A4">
        <w:rPr>
          <w:b/>
          <w:color w:val="000000"/>
          <w:sz w:val="22"/>
          <w:szCs w:val="22"/>
          <w:bdr w:val="none" w:sz="0" w:space="0" w:color="auto" w:frame="1"/>
        </w:rPr>
        <w:t xml:space="preserve">the </w:t>
      </w:r>
      <w:proofErr w:type="spellStart"/>
      <w:r w:rsidR="00B912A4">
        <w:rPr>
          <w:b/>
          <w:color w:val="000000"/>
          <w:sz w:val="22"/>
          <w:szCs w:val="22"/>
          <w:bdr w:val="none" w:sz="0" w:space="0" w:color="auto" w:frame="1"/>
        </w:rPr>
        <w:t>SmartCity</w:t>
      </w:r>
      <w:proofErr w:type="spellEnd"/>
      <w:r w:rsidR="00B912A4">
        <w:rPr>
          <w:b/>
          <w:color w:val="000000"/>
          <w:sz w:val="22"/>
          <w:szCs w:val="22"/>
          <w:bdr w:val="none" w:sz="0" w:space="0" w:color="auto" w:frame="1"/>
        </w:rPr>
        <w:t xml:space="preserve"> AU04+, </w:t>
      </w:r>
      <w:r>
        <w:rPr>
          <w:b/>
          <w:color w:val="000000"/>
          <w:sz w:val="22"/>
          <w:szCs w:val="22"/>
          <w:bdr w:val="none" w:sz="0" w:space="0" w:color="auto" w:frame="1"/>
        </w:rPr>
        <w:t>its first tyre specification for electric buses. The tyre manufacturer is following increasing customer requirements for tyre solutions</w:t>
      </w:r>
      <w:r w:rsidR="00B912A4">
        <w:rPr>
          <w:b/>
          <w:color w:val="000000"/>
          <w:sz w:val="22"/>
          <w:szCs w:val="22"/>
          <w:bdr w:val="none" w:sz="0" w:space="0" w:color="auto" w:frame="1"/>
        </w:rPr>
        <w:t xml:space="preserve"> specifically</w:t>
      </w:r>
      <w:r>
        <w:rPr>
          <w:b/>
          <w:color w:val="000000"/>
          <w:sz w:val="22"/>
          <w:szCs w:val="22"/>
          <w:bdr w:val="none" w:sz="0" w:space="0" w:color="auto" w:frame="1"/>
        </w:rPr>
        <w:t xml:space="preserve"> for use on electric-powered urban buses. </w:t>
      </w:r>
      <w:r w:rsidR="00B912A4">
        <w:rPr>
          <w:b/>
          <w:color w:val="000000"/>
          <w:sz w:val="22"/>
          <w:szCs w:val="22"/>
          <w:bdr w:val="none" w:sz="0" w:space="0" w:color="auto" w:frame="1"/>
        </w:rPr>
        <w:t xml:space="preserve">As </w:t>
      </w:r>
      <w:r>
        <w:rPr>
          <w:b/>
          <w:color w:val="000000"/>
          <w:sz w:val="22"/>
          <w:szCs w:val="22"/>
          <w:bdr w:val="none" w:sz="0" w:space="0" w:color="auto" w:frame="1"/>
        </w:rPr>
        <w:t xml:space="preserve">these vehicles are generally heavier than conventional buses due to their energy storage units, the tyres also have an increased load index. To keep battery energy loss to a minimum, the </w:t>
      </w:r>
      <w:proofErr w:type="spellStart"/>
      <w:r>
        <w:rPr>
          <w:b/>
          <w:color w:val="000000"/>
          <w:sz w:val="22"/>
          <w:szCs w:val="22"/>
          <w:bdr w:val="none" w:sz="0" w:space="0" w:color="auto" w:frame="1"/>
        </w:rPr>
        <w:t>SmartCity</w:t>
      </w:r>
      <w:proofErr w:type="spellEnd"/>
      <w:r>
        <w:rPr>
          <w:b/>
          <w:color w:val="000000"/>
          <w:sz w:val="22"/>
          <w:szCs w:val="22"/>
          <w:bdr w:val="none" w:sz="0" w:space="0" w:color="auto" w:frame="1"/>
        </w:rPr>
        <w:t xml:space="preserve"> AU04+ also stands out on account of its very low rolling resistance. In urban stop and go traffic, bus tyres must be able to cope with a particularly heavy load and guarantee safe use at the same time; </w:t>
      </w:r>
      <w:r w:rsidR="00B912A4">
        <w:rPr>
          <w:b/>
          <w:color w:val="000000"/>
          <w:sz w:val="22"/>
          <w:szCs w:val="22"/>
          <w:bdr w:val="none" w:sz="0" w:space="0" w:color="auto" w:frame="1"/>
        </w:rPr>
        <w:t>therefore</w:t>
      </w:r>
      <w:r>
        <w:rPr>
          <w:b/>
          <w:color w:val="000000"/>
          <w:sz w:val="22"/>
          <w:szCs w:val="22"/>
          <w:bdr w:val="none" w:sz="0" w:space="0" w:color="auto" w:frame="1"/>
        </w:rPr>
        <w:t>, special attention was paid to adaptation of the shoulder width and structure during development of the new electric bus tyre, in order to ensure extremely even wear. The tread of the AU04+, which has been designed as an all-year tyre, is suitable for all wintry conditions without restriction and bears the snowflake symbol (3PMSF). It goes without saying that the new city bus tyre size is equally suitable for use on city buses with conventional drive concepts.</w:t>
      </w:r>
    </w:p>
    <w:p w:rsidR="001E5577" w:rsidRPr="00EB3A56" w:rsidRDefault="001E5577" w:rsidP="00643A99">
      <w:pPr>
        <w:widowControl/>
        <w:suppressAutoHyphens w:val="0"/>
        <w:snapToGrid w:val="0"/>
        <w:spacing w:line="276" w:lineRule="auto"/>
        <w:ind w:right="-30"/>
        <w:rPr>
          <w:rFonts w:eastAsia="Batang"/>
          <w:b/>
          <w:iCs/>
          <w:color w:val="000000"/>
          <w:sz w:val="22"/>
          <w:szCs w:val="22"/>
          <w:lang w:eastAsia="ko-KR" w:bidi="ar-SA"/>
        </w:rPr>
      </w:pPr>
    </w:p>
    <w:p w:rsidR="005F6CA2" w:rsidRDefault="00FB25E6" w:rsidP="006D2055">
      <w:pPr>
        <w:spacing w:line="360" w:lineRule="auto"/>
        <w:rPr>
          <w:bCs/>
          <w:color w:val="auto"/>
          <w:sz w:val="21"/>
          <w:szCs w:val="21"/>
        </w:rPr>
      </w:pPr>
      <w:proofErr w:type="spellStart"/>
      <w:r>
        <w:rPr>
          <w:b/>
          <w:i/>
          <w:color w:val="auto"/>
          <w:sz w:val="21"/>
          <w:szCs w:val="21"/>
        </w:rPr>
        <w:t>Neu-Isenburg</w:t>
      </w:r>
      <w:proofErr w:type="spellEnd"/>
      <w:r>
        <w:rPr>
          <w:b/>
          <w:i/>
          <w:color w:val="auto"/>
          <w:sz w:val="21"/>
          <w:szCs w:val="21"/>
        </w:rPr>
        <w:t>, Germany, 19 September 2018</w:t>
      </w:r>
      <w:r>
        <w:rPr>
          <w:color w:val="auto"/>
          <w:sz w:val="21"/>
          <w:szCs w:val="21"/>
        </w:rPr>
        <w:t xml:space="preserve"> </w:t>
      </w:r>
      <w:r>
        <w:rPr>
          <w:iCs/>
          <w:color w:val="000000"/>
          <w:sz w:val="21"/>
          <w:szCs w:val="21"/>
        </w:rPr>
        <w:t xml:space="preserve">– </w:t>
      </w:r>
      <w:r>
        <w:rPr>
          <w:bCs/>
          <w:color w:val="auto"/>
          <w:sz w:val="21"/>
          <w:szCs w:val="21"/>
        </w:rPr>
        <w:t xml:space="preserve">Hankook is expanding its tyre portfolio in the scheduled urban/city bus sector. For the first time, the premium tyre maker is supplying a city bus tyre in the size 315/60 R 22.5 optimised for electromotive use. The </w:t>
      </w:r>
      <w:proofErr w:type="spellStart"/>
      <w:r>
        <w:rPr>
          <w:bCs/>
          <w:color w:val="auto"/>
          <w:sz w:val="21"/>
          <w:szCs w:val="21"/>
        </w:rPr>
        <w:t>SmartCity</w:t>
      </w:r>
      <w:proofErr w:type="spellEnd"/>
      <w:r>
        <w:rPr>
          <w:bCs/>
          <w:color w:val="auto"/>
          <w:sz w:val="21"/>
          <w:szCs w:val="21"/>
        </w:rPr>
        <w:t xml:space="preserve"> AU04+ stands out in particular due to of its very low rolling resistance </w:t>
      </w:r>
      <w:r w:rsidR="00FF7CA7">
        <w:rPr>
          <w:bCs/>
          <w:color w:val="auto"/>
          <w:sz w:val="21"/>
          <w:szCs w:val="21"/>
        </w:rPr>
        <w:t>which</w:t>
      </w:r>
      <w:r>
        <w:rPr>
          <w:bCs/>
          <w:color w:val="auto"/>
          <w:sz w:val="21"/>
          <w:szCs w:val="21"/>
        </w:rPr>
        <w:t xml:space="preserve"> helps to ease the strain on the energy storage units of electric-powered urban buses. On account of the increased vehicle weight resulting from the battery weight, the tyre not only has a stable carcass but also an increased load capacity of 154/148J (156/152F) which corresponds to a weight of 8 tonnes per axle. The standard load bearing capacity is usually 7 tonnes per axle for this size.</w:t>
      </w:r>
    </w:p>
    <w:p w:rsidR="00E96C0F" w:rsidRPr="00AB74F4" w:rsidRDefault="004B0FDB" w:rsidP="006D2055">
      <w:pPr>
        <w:spacing w:line="360" w:lineRule="auto"/>
        <w:rPr>
          <w:bCs/>
          <w:color w:val="auto"/>
          <w:sz w:val="21"/>
          <w:szCs w:val="21"/>
        </w:rPr>
      </w:pPr>
      <w:r>
        <w:rPr>
          <w:bCs/>
          <w:color w:val="auto"/>
          <w:sz w:val="21"/>
          <w:szCs w:val="21"/>
        </w:rPr>
        <w:t>During development of the new bus tyre, special attention was paid to a high traction and braking performance, particularly on wet road surfaces. Dipl.-Ing. Klaus Krause, head of the European Research and Development Centre, explains: “Unlike conventional combustion engines, an electric motor is able to deliver the full torque immediately. This means the vehicle and the tyres respond faster to speed or the changing road conditions. Consequently more demands are made on tyres for electric-powered vehicles. The high grip level avoids irregular tyre wear without having to do without optimum mileage.”</w:t>
      </w:r>
    </w:p>
    <w:p w:rsidR="006F7D6C" w:rsidRPr="00EB3A56" w:rsidRDefault="006F7D6C" w:rsidP="006D2055">
      <w:pPr>
        <w:spacing w:line="360" w:lineRule="auto"/>
        <w:rPr>
          <w:bCs/>
          <w:color w:val="auto"/>
          <w:sz w:val="21"/>
          <w:szCs w:val="21"/>
        </w:rPr>
      </w:pPr>
    </w:p>
    <w:p w:rsidR="004D76A2" w:rsidRDefault="00587FE5" w:rsidP="006D2055">
      <w:pPr>
        <w:spacing w:line="360" w:lineRule="auto"/>
        <w:rPr>
          <w:bCs/>
          <w:color w:val="auto"/>
          <w:sz w:val="21"/>
          <w:szCs w:val="21"/>
        </w:rPr>
      </w:pPr>
      <w:r>
        <w:rPr>
          <w:bCs/>
          <w:color w:val="auto"/>
          <w:sz w:val="21"/>
          <w:szCs w:val="21"/>
        </w:rPr>
        <w:t>The high mileage is guaranteed by the optimised zigzag grooves which ensure higher block rigidity thanks to their modified layout</w:t>
      </w:r>
      <w:r w:rsidR="000F05BF">
        <w:rPr>
          <w:bCs/>
          <w:color w:val="auto"/>
          <w:sz w:val="21"/>
          <w:szCs w:val="21"/>
        </w:rPr>
        <w:t>, among other things</w:t>
      </w:r>
      <w:r>
        <w:rPr>
          <w:bCs/>
          <w:color w:val="auto"/>
          <w:sz w:val="21"/>
          <w:szCs w:val="21"/>
        </w:rPr>
        <w:t xml:space="preserve">. The constant starting and stopping in city traffic puts a heavy and irregular load on bus tyres. “For this reason we have adapted the shoulder width and design for the </w:t>
      </w:r>
      <w:proofErr w:type="spellStart"/>
      <w:r>
        <w:rPr>
          <w:bCs/>
          <w:color w:val="auto"/>
          <w:sz w:val="21"/>
          <w:szCs w:val="21"/>
        </w:rPr>
        <w:t>SmartCity</w:t>
      </w:r>
      <w:proofErr w:type="spellEnd"/>
      <w:r>
        <w:rPr>
          <w:bCs/>
          <w:color w:val="auto"/>
          <w:sz w:val="21"/>
          <w:szCs w:val="21"/>
        </w:rPr>
        <w:t xml:space="preserve"> AU04+ to the increased requirements, thus guaranteeing more even wear. The improved molecular structure of the new tread compound makes the tyre much more heat-resistant and is a further contributing factor to a longer service life,” Dipl.-Ing. Klaus Krause adds.</w:t>
      </w:r>
    </w:p>
    <w:p w:rsidR="00ED734B" w:rsidRPr="00AB74F4" w:rsidRDefault="00ED734B" w:rsidP="006D2055">
      <w:pPr>
        <w:spacing w:line="360" w:lineRule="auto"/>
        <w:rPr>
          <w:bCs/>
          <w:color w:val="auto"/>
          <w:sz w:val="21"/>
          <w:szCs w:val="21"/>
        </w:rPr>
      </w:pPr>
    </w:p>
    <w:p w:rsidR="00587FE5" w:rsidRDefault="00E67864" w:rsidP="00587FE5">
      <w:pPr>
        <w:spacing w:line="360" w:lineRule="auto"/>
        <w:rPr>
          <w:sz w:val="21"/>
          <w:szCs w:val="21"/>
          <w:bdr w:val="none" w:sz="0" w:space="0" w:color="auto" w:frame="1"/>
        </w:rPr>
      </w:pPr>
      <w:r>
        <w:rPr>
          <w:color w:val="auto"/>
          <w:sz w:val="21"/>
          <w:szCs w:val="21"/>
          <w:bdr w:val="none" w:sz="0" w:space="0" w:color="auto" w:frame="1"/>
        </w:rPr>
        <w:t xml:space="preserve">Completely in line with the safety aspect, the </w:t>
      </w:r>
      <w:proofErr w:type="spellStart"/>
      <w:r>
        <w:rPr>
          <w:color w:val="auto"/>
          <w:sz w:val="21"/>
          <w:szCs w:val="21"/>
          <w:bdr w:val="none" w:sz="0" w:space="0" w:color="auto" w:frame="1"/>
        </w:rPr>
        <w:t>SmartCity</w:t>
      </w:r>
      <w:proofErr w:type="spellEnd"/>
      <w:r>
        <w:rPr>
          <w:color w:val="auto"/>
          <w:sz w:val="21"/>
          <w:szCs w:val="21"/>
          <w:bdr w:val="none" w:sz="0" w:space="0" w:color="auto" w:frame="1"/>
        </w:rPr>
        <w:t xml:space="preserve"> AU04+ also has a further reinforced sidewall. This protects the tyre from damage following the often unavoidable contact with the curb in city traffic: </w:t>
      </w:r>
      <w:r>
        <w:rPr>
          <w:sz w:val="21"/>
          <w:szCs w:val="21"/>
          <w:bdr w:val="none" w:sz="0" w:space="0" w:color="auto" w:frame="1"/>
        </w:rPr>
        <w:t xml:space="preserve">“The reinforced sidewall </w:t>
      </w:r>
      <w:r>
        <w:rPr>
          <w:sz w:val="21"/>
          <w:szCs w:val="21"/>
          <w:bdr w:val="none" w:sz="0" w:space="0" w:color="auto" w:frame="1"/>
        </w:rPr>
        <w:lastRenderedPageBreak/>
        <w:t xml:space="preserve">is particularly important for the protection of electric bus tyres, since they accelerate much more quickly on account of the system and also build up a more aggressive contact to </w:t>
      </w:r>
      <w:proofErr w:type="spellStart"/>
      <w:r>
        <w:rPr>
          <w:sz w:val="21"/>
          <w:szCs w:val="21"/>
          <w:bdr w:val="none" w:sz="0" w:space="0" w:color="auto" w:frame="1"/>
        </w:rPr>
        <w:t>curbstones</w:t>
      </w:r>
      <w:proofErr w:type="spellEnd"/>
      <w:r>
        <w:rPr>
          <w:sz w:val="21"/>
          <w:szCs w:val="21"/>
          <w:bdr w:val="none" w:sz="0" w:space="0" w:color="auto" w:frame="1"/>
        </w:rPr>
        <w:t>” Klaus Krause explains.</w:t>
      </w:r>
    </w:p>
    <w:p w:rsidR="00ED734B" w:rsidRDefault="00ED734B" w:rsidP="00587FE5">
      <w:pPr>
        <w:spacing w:line="360" w:lineRule="auto"/>
        <w:rPr>
          <w:sz w:val="21"/>
          <w:szCs w:val="21"/>
          <w:bdr w:val="none" w:sz="0" w:space="0" w:color="auto" w:frame="1"/>
        </w:rPr>
      </w:pPr>
    </w:p>
    <w:p w:rsidR="00ED734B" w:rsidRDefault="00ED734B" w:rsidP="00587FE5">
      <w:pPr>
        <w:spacing w:line="360" w:lineRule="auto"/>
        <w:rPr>
          <w:sz w:val="21"/>
          <w:szCs w:val="21"/>
          <w:bdr w:val="none" w:sz="0" w:space="0" w:color="auto" w:frame="1"/>
        </w:rPr>
      </w:pPr>
    </w:p>
    <w:p w:rsidR="00ED734B" w:rsidRDefault="00ED734B" w:rsidP="00587FE5">
      <w:pPr>
        <w:spacing w:line="360" w:lineRule="auto"/>
        <w:rPr>
          <w:bCs/>
          <w:sz w:val="21"/>
          <w:szCs w:val="21"/>
        </w:rPr>
      </w:pPr>
    </w:p>
    <w:p w:rsidR="00806ABE" w:rsidRPr="00EB3A56" w:rsidRDefault="00806ABE" w:rsidP="006D2055">
      <w:pPr>
        <w:spacing w:line="360" w:lineRule="auto"/>
        <w:rPr>
          <w:bCs/>
          <w:sz w:val="21"/>
          <w:szCs w:val="21"/>
        </w:rPr>
      </w:pPr>
    </w:p>
    <w:p w:rsidR="00BD0981" w:rsidRPr="00BD0981" w:rsidRDefault="00BD0981" w:rsidP="00BD0981">
      <w:pPr>
        <w:widowControl/>
        <w:snapToGrid w:val="0"/>
        <w:spacing w:line="276" w:lineRule="auto"/>
        <w:rPr>
          <w:rFonts w:ascii="Arial" w:hAnsi="Arial" w:cs="Arial"/>
          <w:bCs/>
          <w:i/>
          <w:sz w:val="18"/>
          <w:szCs w:val="18"/>
          <w:u w:val="single"/>
        </w:rPr>
      </w:pPr>
      <w:r>
        <w:rPr>
          <w:rFonts w:ascii="Arial" w:hAnsi="Arial"/>
          <w:bCs/>
          <w:i/>
          <w:sz w:val="18"/>
          <w:szCs w:val="18"/>
          <w:u w:val="single"/>
        </w:rPr>
        <w:t xml:space="preserve">Available sizes of the </w:t>
      </w:r>
      <w:r>
        <w:rPr>
          <w:rFonts w:ascii="Arial" w:hAnsi="Arial"/>
          <w:i/>
          <w:sz w:val="18"/>
          <w:szCs w:val="18"/>
          <w:u w:val="single"/>
        </w:rPr>
        <w:t>AU04+ / AU03+ and AU03:</w:t>
      </w:r>
    </w:p>
    <w:p w:rsidR="00BD0981" w:rsidRPr="00EB3A56" w:rsidRDefault="00BD0981" w:rsidP="00BD0981">
      <w:pPr>
        <w:jc w:val="center"/>
        <w:rPr>
          <w:color w:val="404040" w:themeColor="text1" w:themeTint="BF"/>
          <w:sz w:val="21"/>
          <w:szCs w:val="21"/>
        </w:rPr>
      </w:pPr>
    </w:p>
    <w:tbl>
      <w:tblPr>
        <w:tblW w:w="473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1626"/>
        <w:gridCol w:w="1420"/>
        <w:gridCol w:w="1135"/>
        <w:gridCol w:w="1414"/>
        <w:gridCol w:w="1205"/>
        <w:gridCol w:w="723"/>
        <w:gridCol w:w="1589"/>
      </w:tblGrid>
      <w:tr w:rsidR="00BD0981" w:rsidRPr="00153A3C" w:rsidTr="00ED734B">
        <w:trPr>
          <w:trHeight w:val="300"/>
        </w:trPr>
        <w:tc>
          <w:tcPr>
            <w:tcW w:w="892" w:type="pct"/>
            <w:shd w:val="clear" w:color="auto" w:fill="FFFFFF" w:themeFill="background1"/>
            <w:vAlign w:val="center"/>
          </w:tcPr>
          <w:p w:rsidR="00BD0981" w:rsidRPr="00153A3C" w:rsidRDefault="00BD0981" w:rsidP="00521DFF">
            <w:pPr>
              <w:widowControl/>
              <w:jc w:val="center"/>
              <w:rPr>
                <w:rFonts w:ascii="Arial" w:hAnsi="Arial" w:cs="Arial"/>
                <w:b/>
                <w:bCs/>
                <w:color w:val="000000"/>
              </w:rPr>
            </w:pPr>
            <w:r>
              <w:rPr>
                <w:rFonts w:ascii="Arial" w:hAnsi="Arial"/>
                <w:b/>
              </w:rPr>
              <w:t>Tread</w:t>
            </w:r>
          </w:p>
        </w:tc>
        <w:tc>
          <w:tcPr>
            <w:tcW w:w="779" w:type="pct"/>
            <w:shd w:val="clear" w:color="auto" w:fill="FFFFFF" w:themeFill="background1"/>
            <w:noWrap/>
            <w:vAlign w:val="center"/>
            <w:hideMark/>
          </w:tcPr>
          <w:p w:rsidR="00BD0981" w:rsidRPr="00153A3C" w:rsidRDefault="00BD0981" w:rsidP="00521DFF">
            <w:pPr>
              <w:widowControl/>
              <w:jc w:val="center"/>
              <w:rPr>
                <w:rFonts w:ascii="Arial" w:hAnsi="Arial" w:cs="Arial"/>
                <w:b/>
                <w:bCs/>
                <w:color w:val="000000"/>
              </w:rPr>
            </w:pPr>
            <w:r>
              <w:rPr>
                <w:rFonts w:ascii="Arial" w:hAnsi="Arial"/>
                <w:b/>
                <w:color w:val="000000"/>
              </w:rPr>
              <w:t>Size</w:t>
            </w:r>
          </w:p>
        </w:tc>
        <w:tc>
          <w:tcPr>
            <w:tcW w:w="623" w:type="pct"/>
            <w:shd w:val="clear" w:color="auto" w:fill="FFFFFF" w:themeFill="background1"/>
            <w:noWrap/>
            <w:vAlign w:val="center"/>
            <w:hideMark/>
          </w:tcPr>
          <w:p w:rsidR="00BD0981" w:rsidRPr="00153A3C" w:rsidRDefault="00BD0981" w:rsidP="00521DFF">
            <w:pPr>
              <w:widowControl/>
              <w:jc w:val="center"/>
              <w:rPr>
                <w:rFonts w:ascii="Arial" w:hAnsi="Arial" w:cs="Arial"/>
                <w:b/>
                <w:bCs/>
                <w:color w:val="000000"/>
              </w:rPr>
            </w:pPr>
            <w:r>
              <w:rPr>
                <w:rFonts w:ascii="Arial" w:hAnsi="Arial"/>
                <w:b/>
                <w:color w:val="000000"/>
              </w:rPr>
              <w:t>LI</w:t>
            </w:r>
          </w:p>
        </w:tc>
        <w:tc>
          <w:tcPr>
            <w:tcW w:w="776" w:type="pct"/>
            <w:shd w:val="clear" w:color="auto" w:fill="FFFFFF" w:themeFill="background1"/>
            <w:noWrap/>
            <w:vAlign w:val="center"/>
            <w:hideMark/>
          </w:tcPr>
          <w:p w:rsidR="00BD0981" w:rsidRPr="00153A3C" w:rsidRDefault="00BD0981" w:rsidP="00521DFF">
            <w:pPr>
              <w:widowControl/>
              <w:jc w:val="center"/>
              <w:rPr>
                <w:rFonts w:ascii="Arial" w:hAnsi="Arial" w:cs="Arial"/>
                <w:b/>
                <w:bCs/>
                <w:color w:val="000000"/>
              </w:rPr>
            </w:pPr>
            <w:r>
              <w:rPr>
                <w:rFonts w:ascii="Arial" w:hAnsi="Arial"/>
                <w:b/>
                <w:color w:val="000000"/>
              </w:rPr>
              <w:t>Marking</w:t>
            </w:r>
          </w:p>
        </w:tc>
        <w:tc>
          <w:tcPr>
            <w:tcW w:w="661" w:type="pct"/>
            <w:shd w:val="clear" w:color="auto" w:fill="FFFFFF" w:themeFill="background1"/>
            <w:noWrap/>
            <w:vAlign w:val="center"/>
            <w:hideMark/>
          </w:tcPr>
          <w:p w:rsidR="00BD0981" w:rsidRPr="00153A3C" w:rsidRDefault="00BD0981" w:rsidP="00521DFF">
            <w:pPr>
              <w:widowControl/>
              <w:jc w:val="center"/>
              <w:rPr>
                <w:rFonts w:ascii="Arial" w:hAnsi="Arial" w:cs="Arial"/>
                <w:b/>
                <w:bCs/>
                <w:color w:val="000000"/>
              </w:rPr>
            </w:pPr>
            <w:r>
              <w:rPr>
                <w:rFonts w:ascii="Arial" w:hAnsi="Arial"/>
                <w:b/>
                <w:color w:val="000000"/>
              </w:rPr>
              <w:t>Snowflake</w:t>
            </w:r>
          </w:p>
        </w:tc>
        <w:tc>
          <w:tcPr>
            <w:tcW w:w="397" w:type="pct"/>
            <w:shd w:val="clear" w:color="auto" w:fill="FFFFFF" w:themeFill="background1"/>
            <w:noWrap/>
            <w:vAlign w:val="center"/>
            <w:hideMark/>
          </w:tcPr>
          <w:p w:rsidR="00BD0981" w:rsidRPr="00153A3C" w:rsidRDefault="00BD0981" w:rsidP="00521DFF">
            <w:pPr>
              <w:widowControl/>
              <w:jc w:val="center"/>
              <w:rPr>
                <w:rFonts w:ascii="Arial" w:hAnsi="Arial" w:cs="Arial"/>
                <w:b/>
                <w:bCs/>
                <w:color w:val="000000"/>
              </w:rPr>
            </w:pPr>
            <w:r>
              <w:rPr>
                <w:rFonts w:ascii="Arial" w:hAnsi="Arial"/>
                <w:b/>
                <w:color w:val="000000"/>
              </w:rPr>
              <w:t>M+S</w:t>
            </w:r>
          </w:p>
        </w:tc>
        <w:tc>
          <w:tcPr>
            <w:tcW w:w="872" w:type="pct"/>
            <w:shd w:val="clear" w:color="auto" w:fill="FFFFFF" w:themeFill="background1"/>
            <w:noWrap/>
            <w:vAlign w:val="center"/>
            <w:hideMark/>
          </w:tcPr>
          <w:p w:rsidR="00BD0981" w:rsidRPr="00153A3C" w:rsidRDefault="00BD0981" w:rsidP="00521DFF">
            <w:pPr>
              <w:widowControl/>
              <w:jc w:val="center"/>
              <w:rPr>
                <w:rFonts w:ascii="Arial" w:hAnsi="Arial" w:cs="Arial"/>
                <w:b/>
                <w:bCs/>
                <w:color w:val="000000"/>
              </w:rPr>
            </w:pPr>
            <w:r>
              <w:rPr>
                <w:rFonts w:ascii="Arial" w:hAnsi="Arial"/>
                <w:b/>
                <w:color w:val="000000"/>
              </w:rPr>
              <w:t>Availability</w:t>
            </w:r>
          </w:p>
        </w:tc>
      </w:tr>
      <w:tr w:rsidR="00402F20" w:rsidRPr="007332ED" w:rsidTr="00ED734B">
        <w:trPr>
          <w:trHeight w:val="300"/>
        </w:trPr>
        <w:tc>
          <w:tcPr>
            <w:tcW w:w="892" w:type="pct"/>
            <w:shd w:val="clear" w:color="auto" w:fill="FFFFFF" w:themeFill="background1"/>
            <w:vAlign w:val="center"/>
          </w:tcPr>
          <w:p w:rsidR="00402F20" w:rsidRDefault="00402F20" w:rsidP="00402F20">
            <w:pPr>
              <w:widowControl/>
              <w:jc w:val="center"/>
              <w:rPr>
                <w:rFonts w:ascii="Arial" w:hAnsi="Arial" w:cs="Arial"/>
                <w:b/>
                <w:color w:val="auto"/>
              </w:rPr>
            </w:pPr>
            <w:r>
              <w:rPr>
                <w:rFonts w:ascii="Arial" w:hAnsi="Arial"/>
                <w:b/>
                <w:color w:val="auto"/>
              </w:rPr>
              <w:t>AU04+</w:t>
            </w:r>
          </w:p>
          <w:p w:rsidR="00402F20" w:rsidRPr="00A87498" w:rsidRDefault="00402F20" w:rsidP="00402F20">
            <w:pPr>
              <w:widowControl/>
              <w:jc w:val="center"/>
              <w:rPr>
                <w:rFonts w:ascii="Arial" w:hAnsi="Arial" w:cs="Arial"/>
                <w:color w:val="auto"/>
              </w:rPr>
            </w:pPr>
            <w:r>
              <w:rPr>
                <w:rFonts w:ascii="Arial" w:hAnsi="Arial"/>
                <w:b/>
                <w:color w:val="auto"/>
              </w:rPr>
              <w:t>for electromotive use</w:t>
            </w:r>
          </w:p>
        </w:tc>
        <w:tc>
          <w:tcPr>
            <w:tcW w:w="779" w:type="pct"/>
            <w:shd w:val="clear" w:color="auto" w:fill="FFFFFF" w:themeFill="background1"/>
            <w:noWrap/>
            <w:vAlign w:val="center"/>
          </w:tcPr>
          <w:p w:rsidR="00402F20" w:rsidRPr="00AB74F4" w:rsidRDefault="00402F20" w:rsidP="00AB74F4">
            <w:pPr>
              <w:widowControl/>
              <w:jc w:val="center"/>
              <w:rPr>
                <w:rFonts w:ascii="Arial" w:hAnsi="Arial" w:cs="Arial"/>
                <w:color w:val="auto"/>
              </w:rPr>
            </w:pPr>
            <w:r>
              <w:rPr>
                <w:rFonts w:ascii="Arial" w:hAnsi="Arial"/>
                <w:color w:val="auto"/>
              </w:rPr>
              <w:t>315/60R22.5</w:t>
            </w:r>
          </w:p>
        </w:tc>
        <w:tc>
          <w:tcPr>
            <w:tcW w:w="623" w:type="pct"/>
            <w:shd w:val="clear" w:color="auto" w:fill="FFFFFF" w:themeFill="background1"/>
            <w:noWrap/>
            <w:vAlign w:val="center"/>
          </w:tcPr>
          <w:p w:rsidR="00402F20" w:rsidRPr="00AB74F4" w:rsidRDefault="00343E64" w:rsidP="00AB74F4">
            <w:pPr>
              <w:widowControl/>
              <w:jc w:val="center"/>
              <w:rPr>
                <w:rFonts w:ascii="Arial" w:hAnsi="Arial" w:cs="Arial"/>
                <w:color w:val="auto"/>
              </w:rPr>
            </w:pPr>
            <w:r>
              <w:rPr>
                <w:rFonts w:ascii="Arial" w:hAnsi="Arial"/>
                <w:color w:val="auto"/>
              </w:rPr>
              <w:t>154/148J (156/152F)</w:t>
            </w:r>
          </w:p>
        </w:tc>
        <w:tc>
          <w:tcPr>
            <w:tcW w:w="776" w:type="pct"/>
            <w:shd w:val="clear" w:color="auto" w:fill="FFFFFF" w:themeFill="background1"/>
            <w:noWrap/>
            <w:vAlign w:val="center"/>
          </w:tcPr>
          <w:p w:rsidR="00402F20" w:rsidRPr="00AB74F4" w:rsidRDefault="00402F20" w:rsidP="00AB74F4">
            <w:pPr>
              <w:widowControl/>
              <w:jc w:val="center"/>
              <w:rPr>
                <w:rFonts w:ascii="Arial" w:hAnsi="Arial" w:cs="Arial"/>
                <w:color w:val="auto"/>
              </w:rPr>
            </w:pPr>
            <w:r>
              <w:rPr>
                <w:rFonts w:ascii="Arial" w:hAnsi="Arial"/>
                <w:color w:val="auto"/>
              </w:rPr>
              <w:t>C/B/W1/73db</w:t>
            </w:r>
          </w:p>
        </w:tc>
        <w:tc>
          <w:tcPr>
            <w:tcW w:w="661" w:type="pct"/>
            <w:shd w:val="clear" w:color="auto" w:fill="FFFFFF" w:themeFill="background1"/>
            <w:noWrap/>
            <w:vAlign w:val="center"/>
          </w:tcPr>
          <w:p w:rsidR="00402F20" w:rsidRPr="005613D5" w:rsidRDefault="00402F20" w:rsidP="00402F20">
            <w:pPr>
              <w:widowControl/>
              <w:jc w:val="center"/>
              <w:rPr>
                <w:rFonts w:ascii="Arial" w:hAnsi="Arial" w:cs="Arial"/>
                <w:color w:val="auto"/>
              </w:rPr>
            </w:pPr>
            <w:r>
              <w:rPr>
                <w:rFonts w:ascii="Wingdings" w:hAnsi="Wingdings"/>
                <w:color w:val="auto"/>
              </w:rPr>
              <w:t></w:t>
            </w:r>
          </w:p>
        </w:tc>
        <w:tc>
          <w:tcPr>
            <w:tcW w:w="397" w:type="pct"/>
            <w:shd w:val="clear" w:color="auto" w:fill="FFFFFF" w:themeFill="background1"/>
            <w:noWrap/>
            <w:vAlign w:val="center"/>
          </w:tcPr>
          <w:p w:rsidR="00402F20" w:rsidRPr="00A87498" w:rsidRDefault="00402F20" w:rsidP="00402F20">
            <w:pPr>
              <w:widowControl/>
              <w:jc w:val="center"/>
              <w:rPr>
                <w:rFonts w:ascii="Arial" w:hAnsi="Arial" w:cs="Arial"/>
                <w:color w:val="auto"/>
              </w:rPr>
            </w:pPr>
            <w:r>
              <w:rPr>
                <w:rFonts w:ascii="Wingdings" w:hAnsi="Wingdings"/>
                <w:color w:val="auto"/>
              </w:rPr>
              <w:t></w:t>
            </w:r>
          </w:p>
        </w:tc>
        <w:tc>
          <w:tcPr>
            <w:tcW w:w="872" w:type="pct"/>
            <w:shd w:val="clear" w:color="auto" w:fill="FFFFFF" w:themeFill="background1"/>
            <w:noWrap/>
            <w:vAlign w:val="center"/>
          </w:tcPr>
          <w:p w:rsidR="00402F20" w:rsidRPr="00806ABE" w:rsidRDefault="00402F20" w:rsidP="00402F20">
            <w:pPr>
              <w:widowControl/>
              <w:jc w:val="center"/>
              <w:rPr>
                <w:rFonts w:ascii="Arial" w:hAnsi="Arial" w:cs="Arial"/>
                <w:color w:val="auto"/>
              </w:rPr>
            </w:pPr>
            <w:r>
              <w:rPr>
                <w:rFonts w:ascii="Wingdings" w:hAnsi="Wingdings"/>
                <w:color w:val="auto"/>
              </w:rPr>
              <w:t></w:t>
            </w:r>
          </w:p>
        </w:tc>
      </w:tr>
      <w:tr w:rsidR="009B3E11" w:rsidRPr="007332ED" w:rsidTr="00ED734B">
        <w:trPr>
          <w:trHeight w:val="300"/>
        </w:trPr>
        <w:tc>
          <w:tcPr>
            <w:tcW w:w="892" w:type="pct"/>
            <w:shd w:val="clear" w:color="auto" w:fill="FFFFFF" w:themeFill="background1"/>
            <w:vAlign w:val="center"/>
          </w:tcPr>
          <w:p w:rsidR="002B05CA" w:rsidRDefault="002B05CA" w:rsidP="009B3E11">
            <w:pPr>
              <w:widowControl/>
              <w:jc w:val="center"/>
              <w:rPr>
                <w:rFonts w:ascii="Arial" w:hAnsi="Arial"/>
                <w:b/>
                <w:color w:val="auto"/>
              </w:rPr>
            </w:pPr>
          </w:p>
          <w:p w:rsidR="009B3E11" w:rsidRDefault="009B3E11" w:rsidP="009B3E11">
            <w:pPr>
              <w:widowControl/>
              <w:jc w:val="center"/>
              <w:rPr>
                <w:rFonts w:ascii="Arial" w:hAnsi="Arial" w:cs="Arial"/>
                <w:b/>
                <w:color w:val="auto"/>
              </w:rPr>
            </w:pPr>
            <w:r>
              <w:rPr>
                <w:rFonts w:ascii="Arial" w:hAnsi="Arial"/>
                <w:b/>
                <w:color w:val="auto"/>
              </w:rPr>
              <w:t>AU04+</w:t>
            </w:r>
          </w:p>
          <w:p w:rsidR="009B3E11" w:rsidRPr="00A87498" w:rsidRDefault="009B3E11" w:rsidP="009B3E11">
            <w:pPr>
              <w:widowControl/>
              <w:jc w:val="center"/>
              <w:rPr>
                <w:rFonts w:ascii="Arial" w:hAnsi="Arial" w:cs="Arial"/>
                <w:b/>
                <w:color w:val="auto"/>
                <w:lang w:val="de-DE"/>
              </w:rPr>
            </w:pPr>
          </w:p>
        </w:tc>
        <w:tc>
          <w:tcPr>
            <w:tcW w:w="779" w:type="pct"/>
            <w:shd w:val="clear" w:color="auto" w:fill="FFFFFF" w:themeFill="background1"/>
            <w:noWrap/>
            <w:vAlign w:val="center"/>
          </w:tcPr>
          <w:p w:rsidR="009B3E11" w:rsidRPr="00AB74F4" w:rsidRDefault="009B3E11" w:rsidP="00AB74F4">
            <w:pPr>
              <w:widowControl/>
              <w:jc w:val="center"/>
              <w:rPr>
                <w:rFonts w:ascii="Arial" w:hAnsi="Arial" w:cs="Arial"/>
                <w:color w:val="auto"/>
              </w:rPr>
            </w:pPr>
            <w:r>
              <w:rPr>
                <w:rFonts w:ascii="Arial" w:hAnsi="Arial"/>
                <w:color w:val="auto"/>
              </w:rPr>
              <w:t>315/60R22.5</w:t>
            </w:r>
          </w:p>
        </w:tc>
        <w:tc>
          <w:tcPr>
            <w:tcW w:w="623" w:type="pct"/>
            <w:shd w:val="clear" w:color="auto" w:fill="FFFFFF" w:themeFill="background1"/>
            <w:noWrap/>
            <w:vAlign w:val="center"/>
          </w:tcPr>
          <w:p w:rsidR="009B3E11" w:rsidRPr="00AB74F4" w:rsidRDefault="00343E64" w:rsidP="00AB74F4">
            <w:pPr>
              <w:widowControl/>
              <w:jc w:val="center"/>
              <w:rPr>
                <w:rFonts w:ascii="Arial" w:hAnsi="Arial" w:cs="Arial"/>
                <w:color w:val="auto"/>
              </w:rPr>
            </w:pPr>
            <w:r>
              <w:rPr>
                <w:rFonts w:ascii="Arial" w:hAnsi="Arial"/>
                <w:color w:val="auto"/>
              </w:rPr>
              <w:t>154/148J (156/152F)</w:t>
            </w:r>
          </w:p>
        </w:tc>
        <w:tc>
          <w:tcPr>
            <w:tcW w:w="776" w:type="pct"/>
            <w:shd w:val="clear" w:color="auto" w:fill="FFFFFF" w:themeFill="background1"/>
            <w:noWrap/>
            <w:vAlign w:val="center"/>
          </w:tcPr>
          <w:p w:rsidR="009B3E11" w:rsidRPr="00AB74F4" w:rsidRDefault="009B3E11" w:rsidP="00AB74F4">
            <w:pPr>
              <w:widowControl/>
              <w:jc w:val="center"/>
              <w:rPr>
                <w:rFonts w:ascii="Arial" w:hAnsi="Arial" w:cs="Arial"/>
                <w:color w:val="auto"/>
              </w:rPr>
            </w:pPr>
            <w:r>
              <w:rPr>
                <w:rFonts w:ascii="Arial" w:hAnsi="Arial"/>
                <w:color w:val="auto"/>
              </w:rPr>
              <w:t>C/B/W1/73dB</w:t>
            </w:r>
          </w:p>
        </w:tc>
        <w:tc>
          <w:tcPr>
            <w:tcW w:w="661" w:type="pct"/>
            <w:shd w:val="clear" w:color="auto" w:fill="FFFFFF" w:themeFill="background1"/>
            <w:noWrap/>
            <w:vAlign w:val="center"/>
          </w:tcPr>
          <w:p w:rsidR="009B3E11" w:rsidRPr="005613D5" w:rsidRDefault="009B3E11" w:rsidP="009B3E11">
            <w:pPr>
              <w:widowControl/>
              <w:jc w:val="center"/>
              <w:rPr>
                <w:rFonts w:ascii="Wingdings" w:hAnsi="Wingdings"/>
                <w:color w:val="auto"/>
              </w:rPr>
            </w:pPr>
            <w:r>
              <w:rPr>
                <w:rFonts w:ascii="Wingdings" w:hAnsi="Wingdings"/>
                <w:color w:val="auto"/>
              </w:rPr>
              <w:t></w:t>
            </w:r>
          </w:p>
        </w:tc>
        <w:tc>
          <w:tcPr>
            <w:tcW w:w="397" w:type="pct"/>
            <w:shd w:val="clear" w:color="auto" w:fill="FFFFFF" w:themeFill="background1"/>
            <w:noWrap/>
            <w:vAlign w:val="center"/>
          </w:tcPr>
          <w:p w:rsidR="009B3E11" w:rsidRPr="00A87498" w:rsidRDefault="009B3E11" w:rsidP="009B3E11">
            <w:pPr>
              <w:widowControl/>
              <w:jc w:val="center"/>
              <w:rPr>
                <w:rFonts w:ascii="Wingdings" w:hAnsi="Wingdings"/>
                <w:color w:val="auto"/>
              </w:rPr>
            </w:pPr>
            <w:r>
              <w:rPr>
                <w:rFonts w:ascii="Wingdings" w:hAnsi="Wingdings"/>
                <w:color w:val="auto"/>
              </w:rPr>
              <w:t></w:t>
            </w:r>
          </w:p>
        </w:tc>
        <w:tc>
          <w:tcPr>
            <w:tcW w:w="872" w:type="pct"/>
            <w:shd w:val="clear" w:color="auto" w:fill="FFFFFF" w:themeFill="background1"/>
            <w:noWrap/>
            <w:vAlign w:val="center"/>
          </w:tcPr>
          <w:p w:rsidR="009B3E11" w:rsidRPr="00806ABE" w:rsidRDefault="009B3E11" w:rsidP="009B3E11">
            <w:pPr>
              <w:widowControl/>
              <w:jc w:val="center"/>
              <w:rPr>
                <w:rFonts w:ascii="Wingdings" w:hAnsi="Wingdings"/>
                <w:color w:val="auto"/>
              </w:rPr>
            </w:pPr>
            <w:r>
              <w:rPr>
                <w:rFonts w:ascii="Wingdings" w:hAnsi="Wingdings"/>
                <w:color w:val="auto"/>
              </w:rPr>
              <w:t></w:t>
            </w:r>
          </w:p>
        </w:tc>
      </w:tr>
      <w:tr w:rsidR="009B3E11" w:rsidRPr="007332ED" w:rsidTr="00ED734B">
        <w:trPr>
          <w:trHeight w:val="300"/>
        </w:trPr>
        <w:tc>
          <w:tcPr>
            <w:tcW w:w="892" w:type="pct"/>
            <w:shd w:val="clear" w:color="auto" w:fill="FFFFFF" w:themeFill="background1"/>
            <w:vAlign w:val="center"/>
          </w:tcPr>
          <w:p w:rsidR="009B3E11" w:rsidRPr="00A87498" w:rsidRDefault="009B3E11" w:rsidP="009B3E11">
            <w:pPr>
              <w:widowControl/>
              <w:jc w:val="center"/>
              <w:rPr>
                <w:rFonts w:ascii="Arial" w:hAnsi="Arial" w:cs="Arial"/>
                <w:b/>
                <w:color w:val="auto"/>
              </w:rPr>
            </w:pPr>
            <w:r>
              <w:rPr>
                <w:rFonts w:ascii="Arial" w:hAnsi="Arial"/>
                <w:b/>
                <w:color w:val="auto"/>
              </w:rPr>
              <w:t>AU04+</w:t>
            </w:r>
            <w:bookmarkStart w:id="0" w:name="_GoBack"/>
            <w:bookmarkEnd w:id="0"/>
          </w:p>
        </w:tc>
        <w:tc>
          <w:tcPr>
            <w:tcW w:w="779" w:type="pct"/>
            <w:shd w:val="clear" w:color="auto" w:fill="FFFFFF" w:themeFill="background1"/>
            <w:noWrap/>
            <w:vAlign w:val="center"/>
          </w:tcPr>
          <w:p w:rsidR="009B3E11" w:rsidRPr="00AB74F4" w:rsidRDefault="009B3E11" w:rsidP="00AB74F4">
            <w:pPr>
              <w:widowControl/>
              <w:jc w:val="center"/>
              <w:rPr>
                <w:rFonts w:ascii="Arial" w:hAnsi="Arial" w:cs="Arial"/>
                <w:color w:val="auto"/>
              </w:rPr>
            </w:pPr>
            <w:r>
              <w:rPr>
                <w:rFonts w:ascii="Arial" w:hAnsi="Arial"/>
                <w:color w:val="auto"/>
              </w:rPr>
              <w:t>275/70R22.5</w:t>
            </w:r>
          </w:p>
        </w:tc>
        <w:tc>
          <w:tcPr>
            <w:tcW w:w="623" w:type="pct"/>
            <w:shd w:val="clear" w:color="auto" w:fill="FFFFFF" w:themeFill="background1"/>
            <w:noWrap/>
            <w:vAlign w:val="center"/>
          </w:tcPr>
          <w:p w:rsidR="009B3E11" w:rsidRPr="00AB74F4" w:rsidRDefault="009B3E11" w:rsidP="00AB74F4">
            <w:pPr>
              <w:widowControl/>
              <w:jc w:val="center"/>
              <w:rPr>
                <w:rFonts w:ascii="Arial" w:hAnsi="Arial" w:cs="Arial"/>
                <w:color w:val="auto"/>
              </w:rPr>
            </w:pPr>
            <w:r>
              <w:rPr>
                <w:rFonts w:ascii="Arial" w:hAnsi="Arial"/>
                <w:color w:val="auto"/>
              </w:rPr>
              <w:t>150/148J</w:t>
            </w:r>
          </w:p>
          <w:p w:rsidR="00343E64" w:rsidRPr="00AB74F4" w:rsidRDefault="00343E64" w:rsidP="00AB74F4">
            <w:pPr>
              <w:widowControl/>
              <w:jc w:val="center"/>
              <w:rPr>
                <w:rFonts w:ascii="Arial" w:hAnsi="Arial" w:cs="Arial"/>
                <w:color w:val="auto"/>
              </w:rPr>
            </w:pPr>
            <w:r>
              <w:rPr>
                <w:rFonts w:ascii="Arial" w:hAnsi="Arial"/>
                <w:color w:val="auto"/>
              </w:rPr>
              <w:t>(152/148F)</w:t>
            </w:r>
          </w:p>
        </w:tc>
        <w:tc>
          <w:tcPr>
            <w:tcW w:w="776" w:type="pct"/>
            <w:shd w:val="clear" w:color="auto" w:fill="FFFFFF" w:themeFill="background1"/>
            <w:noWrap/>
            <w:vAlign w:val="center"/>
          </w:tcPr>
          <w:p w:rsidR="009B3E11" w:rsidRPr="00AB74F4" w:rsidRDefault="009B3E11" w:rsidP="00AB74F4">
            <w:pPr>
              <w:widowControl/>
              <w:jc w:val="center"/>
              <w:rPr>
                <w:rFonts w:ascii="Arial" w:hAnsi="Arial" w:cs="Arial"/>
                <w:color w:val="auto"/>
              </w:rPr>
            </w:pPr>
            <w:r>
              <w:rPr>
                <w:rFonts w:ascii="Arial" w:hAnsi="Arial"/>
                <w:color w:val="auto"/>
              </w:rPr>
              <w:t>D/B/W1/67 dB</w:t>
            </w:r>
          </w:p>
        </w:tc>
        <w:tc>
          <w:tcPr>
            <w:tcW w:w="661" w:type="pct"/>
            <w:shd w:val="clear" w:color="auto" w:fill="FFFFFF" w:themeFill="background1"/>
            <w:noWrap/>
            <w:vAlign w:val="center"/>
          </w:tcPr>
          <w:p w:rsidR="009B3E11" w:rsidRPr="005613D5" w:rsidRDefault="009B3E11" w:rsidP="009B3E11">
            <w:pPr>
              <w:widowControl/>
              <w:jc w:val="center"/>
              <w:rPr>
                <w:rFonts w:ascii="Wingdings" w:hAnsi="Wingdings"/>
                <w:color w:val="auto"/>
              </w:rPr>
            </w:pPr>
            <w:r>
              <w:rPr>
                <w:rFonts w:ascii="Wingdings" w:hAnsi="Wingdings"/>
                <w:color w:val="auto"/>
              </w:rPr>
              <w:t></w:t>
            </w:r>
          </w:p>
        </w:tc>
        <w:tc>
          <w:tcPr>
            <w:tcW w:w="397" w:type="pct"/>
            <w:shd w:val="clear" w:color="auto" w:fill="FFFFFF" w:themeFill="background1"/>
            <w:noWrap/>
            <w:vAlign w:val="center"/>
          </w:tcPr>
          <w:p w:rsidR="009B3E11" w:rsidRPr="00A87498" w:rsidRDefault="009B3E11" w:rsidP="009B3E11">
            <w:pPr>
              <w:widowControl/>
              <w:jc w:val="center"/>
              <w:rPr>
                <w:rFonts w:ascii="Wingdings" w:hAnsi="Wingdings"/>
                <w:color w:val="auto"/>
              </w:rPr>
            </w:pPr>
            <w:r>
              <w:rPr>
                <w:rFonts w:ascii="Wingdings" w:hAnsi="Wingdings"/>
                <w:color w:val="auto"/>
              </w:rPr>
              <w:t></w:t>
            </w:r>
          </w:p>
        </w:tc>
        <w:tc>
          <w:tcPr>
            <w:tcW w:w="872" w:type="pct"/>
            <w:shd w:val="clear" w:color="auto" w:fill="FFFFFF" w:themeFill="background1"/>
            <w:noWrap/>
            <w:vAlign w:val="center"/>
          </w:tcPr>
          <w:p w:rsidR="009B3E11" w:rsidRPr="00806ABE" w:rsidRDefault="009B3E11" w:rsidP="009B3E11">
            <w:pPr>
              <w:widowControl/>
              <w:jc w:val="center"/>
              <w:rPr>
                <w:rFonts w:ascii="Wingdings" w:hAnsi="Wingdings"/>
                <w:color w:val="auto"/>
              </w:rPr>
            </w:pPr>
            <w:r>
              <w:rPr>
                <w:rFonts w:ascii="Wingdings" w:hAnsi="Wingdings"/>
                <w:color w:val="auto"/>
              </w:rPr>
              <w:t></w:t>
            </w:r>
          </w:p>
        </w:tc>
      </w:tr>
      <w:tr w:rsidR="009B3E11" w:rsidRPr="007332ED" w:rsidTr="00ED734B">
        <w:trPr>
          <w:trHeight w:val="300"/>
        </w:trPr>
        <w:tc>
          <w:tcPr>
            <w:tcW w:w="892" w:type="pct"/>
            <w:shd w:val="clear" w:color="auto" w:fill="FFFFFF" w:themeFill="background1"/>
            <w:vAlign w:val="center"/>
          </w:tcPr>
          <w:p w:rsidR="009B3E11" w:rsidRPr="004A5A1C" w:rsidRDefault="009B3E11" w:rsidP="009B3E11">
            <w:pPr>
              <w:widowControl/>
              <w:jc w:val="center"/>
              <w:rPr>
                <w:rFonts w:ascii="Arial" w:hAnsi="Arial" w:cs="Arial"/>
                <w:b/>
                <w:color w:val="auto"/>
              </w:rPr>
            </w:pPr>
            <w:r>
              <w:rPr>
                <w:rFonts w:ascii="Arial" w:hAnsi="Arial"/>
                <w:b/>
                <w:color w:val="auto"/>
              </w:rPr>
              <w:t>AU03+</w:t>
            </w:r>
          </w:p>
        </w:tc>
        <w:tc>
          <w:tcPr>
            <w:tcW w:w="779" w:type="pct"/>
            <w:shd w:val="clear" w:color="auto" w:fill="FFFFFF" w:themeFill="background1"/>
            <w:noWrap/>
            <w:vAlign w:val="center"/>
          </w:tcPr>
          <w:p w:rsidR="009B3E11" w:rsidRPr="00AB74F4" w:rsidRDefault="009B3E11" w:rsidP="00AB74F4">
            <w:pPr>
              <w:widowControl/>
              <w:jc w:val="center"/>
              <w:rPr>
                <w:rFonts w:ascii="Arial" w:hAnsi="Arial" w:cs="Arial"/>
                <w:color w:val="auto"/>
              </w:rPr>
            </w:pPr>
            <w:r>
              <w:rPr>
                <w:rFonts w:ascii="Arial" w:hAnsi="Arial"/>
                <w:color w:val="auto"/>
              </w:rPr>
              <w:t>275/70R22.5</w:t>
            </w:r>
          </w:p>
        </w:tc>
        <w:tc>
          <w:tcPr>
            <w:tcW w:w="623" w:type="pct"/>
            <w:shd w:val="clear" w:color="auto" w:fill="FFFFFF" w:themeFill="background1"/>
            <w:noWrap/>
            <w:vAlign w:val="center"/>
          </w:tcPr>
          <w:p w:rsidR="009B3E11" w:rsidRPr="00AB74F4" w:rsidRDefault="009B3E11" w:rsidP="00AB74F4">
            <w:pPr>
              <w:widowControl/>
              <w:jc w:val="center"/>
              <w:rPr>
                <w:rFonts w:ascii="Arial" w:hAnsi="Arial" w:cs="Arial"/>
                <w:color w:val="auto"/>
              </w:rPr>
            </w:pPr>
            <w:r>
              <w:rPr>
                <w:rFonts w:ascii="Arial" w:hAnsi="Arial"/>
                <w:color w:val="auto"/>
              </w:rPr>
              <w:t>150/145J</w:t>
            </w:r>
          </w:p>
          <w:p w:rsidR="009B3E11" w:rsidRPr="00AB74F4" w:rsidRDefault="009B3E11" w:rsidP="00AB74F4">
            <w:pPr>
              <w:widowControl/>
              <w:jc w:val="center"/>
              <w:rPr>
                <w:rFonts w:ascii="Arial" w:hAnsi="Arial" w:cs="Arial"/>
                <w:color w:val="auto"/>
              </w:rPr>
            </w:pPr>
            <w:r>
              <w:rPr>
                <w:rFonts w:ascii="Arial" w:hAnsi="Arial"/>
                <w:color w:val="auto"/>
              </w:rPr>
              <w:t>(152/148)</w:t>
            </w:r>
          </w:p>
          <w:p w:rsidR="009B3E11" w:rsidRPr="00AB74F4" w:rsidRDefault="009B3E11" w:rsidP="00AB74F4">
            <w:pPr>
              <w:widowControl/>
              <w:jc w:val="center"/>
              <w:rPr>
                <w:rFonts w:ascii="Arial" w:hAnsi="Arial" w:cs="Arial"/>
                <w:color w:val="auto"/>
                <w:lang w:val="de-DE"/>
              </w:rPr>
            </w:pPr>
          </w:p>
        </w:tc>
        <w:tc>
          <w:tcPr>
            <w:tcW w:w="776" w:type="pct"/>
            <w:shd w:val="clear" w:color="auto" w:fill="FFFFFF" w:themeFill="background1"/>
            <w:noWrap/>
            <w:vAlign w:val="center"/>
          </w:tcPr>
          <w:p w:rsidR="009B3E11" w:rsidRPr="00AB74F4" w:rsidRDefault="00ED734B" w:rsidP="00AB74F4">
            <w:pPr>
              <w:widowControl/>
              <w:jc w:val="center"/>
              <w:rPr>
                <w:rFonts w:ascii="Arial" w:hAnsi="Arial" w:cs="Arial"/>
                <w:color w:val="auto"/>
              </w:rPr>
            </w:pPr>
            <w:r>
              <w:rPr>
                <w:rFonts w:ascii="Arial" w:hAnsi="Arial"/>
                <w:color w:val="auto"/>
              </w:rPr>
              <w:t>D/C/W1/71</w:t>
            </w:r>
            <w:r w:rsidR="009B3E11">
              <w:rPr>
                <w:rFonts w:ascii="Arial" w:hAnsi="Arial"/>
                <w:color w:val="auto"/>
              </w:rPr>
              <w:t>dB</w:t>
            </w:r>
          </w:p>
        </w:tc>
        <w:tc>
          <w:tcPr>
            <w:tcW w:w="661" w:type="pct"/>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Pr>
                <w:rFonts w:ascii="Wingdings" w:hAnsi="Wingdings"/>
                <w:color w:val="auto"/>
              </w:rPr>
              <w:t></w:t>
            </w:r>
          </w:p>
        </w:tc>
        <w:tc>
          <w:tcPr>
            <w:tcW w:w="397" w:type="pct"/>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Pr>
                <w:rFonts w:ascii="Wingdings" w:hAnsi="Wingdings"/>
                <w:color w:val="auto"/>
              </w:rPr>
              <w:t></w:t>
            </w:r>
          </w:p>
        </w:tc>
        <w:tc>
          <w:tcPr>
            <w:tcW w:w="872" w:type="pct"/>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Pr>
                <w:rFonts w:ascii="Wingdings" w:hAnsi="Wingdings"/>
                <w:color w:val="auto"/>
              </w:rPr>
              <w:t></w:t>
            </w:r>
          </w:p>
        </w:tc>
      </w:tr>
      <w:tr w:rsidR="009B3E11" w:rsidRPr="007332ED" w:rsidTr="00ED734B">
        <w:trPr>
          <w:trHeight w:val="300"/>
        </w:trPr>
        <w:tc>
          <w:tcPr>
            <w:tcW w:w="892" w:type="pct"/>
            <w:vMerge w:val="restart"/>
            <w:shd w:val="clear" w:color="auto" w:fill="FFFFFF" w:themeFill="background1"/>
            <w:vAlign w:val="center"/>
          </w:tcPr>
          <w:p w:rsidR="009B3E11" w:rsidRPr="004A5A1C" w:rsidRDefault="009B3E11" w:rsidP="009B3E11">
            <w:pPr>
              <w:widowControl/>
              <w:jc w:val="center"/>
              <w:rPr>
                <w:rFonts w:ascii="Arial" w:hAnsi="Arial" w:cs="Arial"/>
                <w:b/>
                <w:color w:val="auto"/>
              </w:rPr>
            </w:pPr>
            <w:r>
              <w:rPr>
                <w:rFonts w:ascii="Arial" w:hAnsi="Arial"/>
                <w:b/>
                <w:color w:val="auto"/>
              </w:rPr>
              <w:t>AU03</w:t>
            </w:r>
          </w:p>
        </w:tc>
        <w:tc>
          <w:tcPr>
            <w:tcW w:w="779" w:type="pct"/>
            <w:shd w:val="clear" w:color="auto" w:fill="FFFFFF" w:themeFill="background1"/>
            <w:noWrap/>
            <w:vAlign w:val="center"/>
          </w:tcPr>
          <w:p w:rsidR="009B3E11" w:rsidRPr="00AB74F4" w:rsidRDefault="009B3E11" w:rsidP="00AB74F4">
            <w:pPr>
              <w:widowControl/>
              <w:jc w:val="center"/>
              <w:rPr>
                <w:rFonts w:ascii="Arial" w:hAnsi="Arial" w:cs="Arial"/>
                <w:color w:val="auto"/>
              </w:rPr>
            </w:pPr>
            <w:r>
              <w:rPr>
                <w:rFonts w:ascii="Arial" w:hAnsi="Arial"/>
                <w:color w:val="auto"/>
              </w:rPr>
              <w:t>11R22.5</w:t>
            </w:r>
          </w:p>
        </w:tc>
        <w:tc>
          <w:tcPr>
            <w:tcW w:w="623" w:type="pct"/>
            <w:shd w:val="clear" w:color="auto" w:fill="FFFFFF" w:themeFill="background1"/>
            <w:noWrap/>
            <w:vAlign w:val="center"/>
          </w:tcPr>
          <w:p w:rsidR="009B3E11" w:rsidRPr="00AB74F4" w:rsidRDefault="009B3E11" w:rsidP="00AB74F4">
            <w:pPr>
              <w:widowControl/>
              <w:jc w:val="center"/>
              <w:rPr>
                <w:rFonts w:ascii="Arial" w:hAnsi="Arial" w:cs="Arial"/>
                <w:color w:val="auto"/>
              </w:rPr>
            </w:pPr>
            <w:r>
              <w:rPr>
                <w:rFonts w:ascii="Arial" w:hAnsi="Arial"/>
                <w:color w:val="auto"/>
              </w:rPr>
              <w:t>148/145J</w:t>
            </w:r>
          </w:p>
        </w:tc>
        <w:tc>
          <w:tcPr>
            <w:tcW w:w="776" w:type="pct"/>
            <w:shd w:val="clear" w:color="auto" w:fill="FFFFFF" w:themeFill="background1"/>
            <w:noWrap/>
            <w:vAlign w:val="center"/>
          </w:tcPr>
          <w:p w:rsidR="009B3E11" w:rsidRPr="00AB74F4" w:rsidRDefault="00ED734B" w:rsidP="00AB74F4">
            <w:pPr>
              <w:widowControl/>
              <w:jc w:val="center"/>
              <w:rPr>
                <w:rFonts w:ascii="Arial" w:hAnsi="Arial" w:cs="Arial"/>
                <w:color w:val="auto"/>
              </w:rPr>
            </w:pPr>
            <w:r>
              <w:rPr>
                <w:rFonts w:ascii="Arial" w:hAnsi="Arial"/>
                <w:color w:val="auto"/>
              </w:rPr>
              <w:t>C/B W1/71</w:t>
            </w:r>
            <w:r w:rsidR="009B3E11">
              <w:rPr>
                <w:rFonts w:ascii="Arial" w:hAnsi="Arial"/>
                <w:color w:val="auto"/>
              </w:rPr>
              <w:t>dB</w:t>
            </w:r>
          </w:p>
        </w:tc>
        <w:tc>
          <w:tcPr>
            <w:tcW w:w="661" w:type="pct"/>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Pr>
                <w:rFonts w:ascii="Arial" w:hAnsi="Arial"/>
              </w:rPr>
              <w:t>-</w:t>
            </w:r>
          </w:p>
        </w:tc>
        <w:tc>
          <w:tcPr>
            <w:tcW w:w="397" w:type="pct"/>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Pr>
                <w:rFonts w:ascii="Wingdings" w:hAnsi="Wingdings"/>
                <w:color w:val="auto"/>
              </w:rPr>
              <w:t></w:t>
            </w:r>
          </w:p>
        </w:tc>
        <w:tc>
          <w:tcPr>
            <w:tcW w:w="872" w:type="pct"/>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Pr>
                <w:rFonts w:ascii="Wingdings" w:hAnsi="Wingdings"/>
                <w:color w:val="auto"/>
              </w:rPr>
              <w:t></w:t>
            </w:r>
          </w:p>
        </w:tc>
      </w:tr>
      <w:tr w:rsidR="009B3E11" w:rsidRPr="007332ED" w:rsidTr="00ED734B">
        <w:trPr>
          <w:trHeight w:val="300"/>
        </w:trPr>
        <w:tc>
          <w:tcPr>
            <w:tcW w:w="892" w:type="pct"/>
            <w:vMerge/>
            <w:shd w:val="clear" w:color="auto" w:fill="FFFFFF" w:themeFill="background1"/>
            <w:vAlign w:val="center"/>
          </w:tcPr>
          <w:p w:rsidR="009B3E11" w:rsidRPr="004A5A1C" w:rsidRDefault="009B3E11" w:rsidP="009B3E11">
            <w:pPr>
              <w:widowControl/>
              <w:jc w:val="center"/>
              <w:rPr>
                <w:rFonts w:ascii="Arial" w:hAnsi="Arial" w:cs="Arial"/>
                <w:b/>
                <w:color w:val="auto"/>
                <w:lang w:val="de-DE"/>
              </w:rPr>
            </w:pPr>
          </w:p>
        </w:tc>
        <w:tc>
          <w:tcPr>
            <w:tcW w:w="779" w:type="pct"/>
            <w:shd w:val="clear" w:color="auto" w:fill="FFFFFF" w:themeFill="background1"/>
            <w:noWrap/>
            <w:vAlign w:val="center"/>
          </w:tcPr>
          <w:p w:rsidR="009B3E11" w:rsidRPr="00AB74F4" w:rsidRDefault="009B3E11" w:rsidP="00AB74F4">
            <w:pPr>
              <w:widowControl/>
              <w:jc w:val="center"/>
              <w:rPr>
                <w:rFonts w:ascii="Arial" w:hAnsi="Arial" w:cs="Arial"/>
                <w:color w:val="auto"/>
              </w:rPr>
            </w:pPr>
            <w:r>
              <w:rPr>
                <w:rFonts w:ascii="Arial" w:hAnsi="Arial"/>
                <w:color w:val="auto"/>
              </w:rPr>
              <w:t>275/80R22.5</w:t>
            </w:r>
          </w:p>
        </w:tc>
        <w:tc>
          <w:tcPr>
            <w:tcW w:w="623" w:type="pct"/>
            <w:shd w:val="clear" w:color="auto" w:fill="FFFFFF" w:themeFill="background1"/>
            <w:noWrap/>
            <w:vAlign w:val="center"/>
          </w:tcPr>
          <w:p w:rsidR="009B3E11" w:rsidRPr="00AB74F4" w:rsidRDefault="009B3E11" w:rsidP="00AB74F4">
            <w:pPr>
              <w:widowControl/>
              <w:jc w:val="center"/>
              <w:rPr>
                <w:rFonts w:ascii="Arial" w:hAnsi="Arial" w:cs="Arial"/>
                <w:color w:val="auto"/>
              </w:rPr>
            </w:pPr>
            <w:r>
              <w:rPr>
                <w:rFonts w:ascii="Arial" w:hAnsi="Arial"/>
                <w:color w:val="auto"/>
              </w:rPr>
              <w:t>149/146J</w:t>
            </w:r>
          </w:p>
        </w:tc>
        <w:tc>
          <w:tcPr>
            <w:tcW w:w="776" w:type="pct"/>
            <w:shd w:val="clear" w:color="auto" w:fill="FFFFFF" w:themeFill="background1"/>
            <w:noWrap/>
            <w:vAlign w:val="center"/>
          </w:tcPr>
          <w:p w:rsidR="009B3E11" w:rsidRPr="00AB74F4" w:rsidRDefault="00ED734B" w:rsidP="00AB74F4">
            <w:pPr>
              <w:widowControl/>
              <w:jc w:val="center"/>
              <w:rPr>
                <w:rFonts w:ascii="Arial" w:hAnsi="Arial" w:cs="Arial"/>
                <w:color w:val="auto"/>
              </w:rPr>
            </w:pPr>
            <w:r>
              <w:rPr>
                <w:rFonts w:ascii="Arial" w:hAnsi="Arial"/>
                <w:color w:val="auto"/>
              </w:rPr>
              <w:t>D/C W1/71</w:t>
            </w:r>
            <w:r w:rsidR="009B3E11">
              <w:rPr>
                <w:rFonts w:ascii="Arial" w:hAnsi="Arial"/>
                <w:color w:val="auto"/>
              </w:rPr>
              <w:t>dB</w:t>
            </w:r>
          </w:p>
        </w:tc>
        <w:tc>
          <w:tcPr>
            <w:tcW w:w="661" w:type="pct"/>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Pr>
                <w:rFonts w:ascii="Arial" w:hAnsi="Arial"/>
              </w:rPr>
              <w:t>-</w:t>
            </w:r>
          </w:p>
        </w:tc>
        <w:tc>
          <w:tcPr>
            <w:tcW w:w="397" w:type="pct"/>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Pr>
                <w:rFonts w:ascii="Wingdings" w:hAnsi="Wingdings"/>
                <w:color w:val="auto"/>
              </w:rPr>
              <w:t></w:t>
            </w:r>
          </w:p>
        </w:tc>
        <w:tc>
          <w:tcPr>
            <w:tcW w:w="872" w:type="pct"/>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Pr>
                <w:rFonts w:ascii="Wingdings" w:hAnsi="Wingdings"/>
                <w:color w:val="auto"/>
              </w:rPr>
              <w:t></w:t>
            </w:r>
          </w:p>
        </w:tc>
      </w:tr>
      <w:tr w:rsidR="009B3E11" w:rsidRPr="007332ED" w:rsidTr="00ED734B">
        <w:trPr>
          <w:trHeight w:val="300"/>
        </w:trPr>
        <w:tc>
          <w:tcPr>
            <w:tcW w:w="892" w:type="pct"/>
            <w:vMerge/>
            <w:shd w:val="clear" w:color="auto" w:fill="FFFFFF" w:themeFill="background1"/>
            <w:vAlign w:val="center"/>
          </w:tcPr>
          <w:p w:rsidR="009B3E11" w:rsidRPr="004A5A1C" w:rsidRDefault="009B3E11" w:rsidP="009B3E11">
            <w:pPr>
              <w:widowControl/>
              <w:jc w:val="center"/>
              <w:rPr>
                <w:rFonts w:ascii="Arial" w:hAnsi="Arial" w:cs="Arial"/>
                <w:b/>
                <w:color w:val="auto"/>
                <w:lang w:val="de-DE"/>
              </w:rPr>
            </w:pPr>
          </w:p>
        </w:tc>
        <w:tc>
          <w:tcPr>
            <w:tcW w:w="779" w:type="pct"/>
            <w:shd w:val="clear" w:color="auto" w:fill="FFFFFF" w:themeFill="background1"/>
            <w:noWrap/>
            <w:vAlign w:val="center"/>
          </w:tcPr>
          <w:p w:rsidR="009B3E11" w:rsidRPr="00AB74F4" w:rsidRDefault="009B3E11" w:rsidP="00AB74F4">
            <w:pPr>
              <w:widowControl/>
              <w:jc w:val="center"/>
              <w:rPr>
                <w:rFonts w:ascii="Arial" w:hAnsi="Arial" w:cs="Arial"/>
                <w:color w:val="auto"/>
              </w:rPr>
            </w:pPr>
            <w:r>
              <w:rPr>
                <w:rFonts w:ascii="Arial" w:hAnsi="Arial"/>
                <w:color w:val="auto"/>
              </w:rPr>
              <w:t>295/80R22.5</w:t>
            </w:r>
          </w:p>
        </w:tc>
        <w:tc>
          <w:tcPr>
            <w:tcW w:w="623" w:type="pct"/>
            <w:shd w:val="clear" w:color="auto" w:fill="FFFFFF" w:themeFill="background1"/>
            <w:noWrap/>
            <w:vAlign w:val="center"/>
          </w:tcPr>
          <w:p w:rsidR="009B3E11" w:rsidRPr="00AB74F4" w:rsidRDefault="009B3E11" w:rsidP="00AB74F4">
            <w:pPr>
              <w:widowControl/>
              <w:jc w:val="center"/>
              <w:rPr>
                <w:rFonts w:ascii="Arial" w:hAnsi="Arial" w:cs="Arial"/>
                <w:color w:val="auto"/>
              </w:rPr>
            </w:pPr>
            <w:r>
              <w:rPr>
                <w:rFonts w:ascii="Arial" w:hAnsi="Arial"/>
                <w:color w:val="auto"/>
              </w:rPr>
              <w:t>152/148J</w:t>
            </w:r>
          </w:p>
        </w:tc>
        <w:tc>
          <w:tcPr>
            <w:tcW w:w="776" w:type="pct"/>
            <w:shd w:val="clear" w:color="auto" w:fill="FFFFFF" w:themeFill="background1"/>
            <w:noWrap/>
            <w:vAlign w:val="center"/>
          </w:tcPr>
          <w:p w:rsidR="009B3E11" w:rsidRPr="00AB74F4" w:rsidRDefault="00ED734B" w:rsidP="00AB74F4">
            <w:pPr>
              <w:widowControl/>
              <w:jc w:val="center"/>
              <w:rPr>
                <w:rFonts w:ascii="Arial" w:hAnsi="Arial" w:cs="Arial"/>
                <w:color w:val="auto"/>
              </w:rPr>
            </w:pPr>
            <w:r>
              <w:rPr>
                <w:rFonts w:ascii="Arial" w:hAnsi="Arial"/>
                <w:color w:val="auto"/>
              </w:rPr>
              <w:t>C/C W1 71</w:t>
            </w:r>
            <w:r w:rsidR="009B3E11">
              <w:rPr>
                <w:rFonts w:ascii="Arial" w:hAnsi="Arial"/>
                <w:color w:val="auto"/>
              </w:rPr>
              <w:t>dB</w:t>
            </w:r>
          </w:p>
        </w:tc>
        <w:tc>
          <w:tcPr>
            <w:tcW w:w="661" w:type="pct"/>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Pr>
                <w:rFonts w:ascii="Wingdings" w:hAnsi="Wingdings"/>
                <w:color w:val="auto"/>
              </w:rPr>
              <w:t></w:t>
            </w:r>
          </w:p>
        </w:tc>
        <w:tc>
          <w:tcPr>
            <w:tcW w:w="397" w:type="pct"/>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Pr>
                <w:rFonts w:ascii="Wingdings" w:hAnsi="Wingdings"/>
                <w:color w:val="auto"/>
              </w:rPr>
              <w:t></w:t>
            </w:r>
          </w:p>
        </w:tc>
        <w:tc>
          <w:tcPr>
            <w:tcW w:w="872" w:type="pct"/>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Pr>
                <w:rFonts w:ascii="Wingdings" w:hAnsi="Wingdings"/>
                <w:color w:val="auto"/>
              </w:rPr>
              <w:t></w:t>
            </w:r>
          </w:p>
        </w:tc>
      </w:tr>
      <w:tr w:rsidR="009B3E11" w:rsidRPr="007332ED" w:rsidTr="00ED734B">
        <w:trPr>
          <w:trHeight w:val="300"/>
        </w:trPr>
        <w:tc>
          <w:tcPr>
            <w:tcW w:w="892" w:type="pct"/>
            <w:vMerge/>
            <w:shd w:val="clear" w:color="auto" w:fill="FFFFFF" w:themeFill="background1"/>
            <w:vAlign w:val="center"/>
          </w:tcPr>
          <w:p w:rsidR="009B3E11" w:rsidRPr="004A5A1C" w:rsidRDefault="009B3E11" w:rsidP="009B3E11">
            <w:pPr>
              <w:widowControl/>
              <w:jc w:val="center"/>
              <w:rPr>
                <w:rFonts w:ascii="Arial" w:hAnsi="Arial" w:cs="Arial"/>
                <w:b/>
                <w:color w:val="auto"/>
                <w:lang w:val="de-DE"/>
              </w:rPr>
            </w:pPr>
          </w:p>
        </w:tc>
        <w:tc>
          <w:tcPr>
            <w:tcW w:w="779" w:type="pct"/>
            <w:shd w:val="clear" w:color="auto" w:fill="FFFFFF" w:themeFill="background1"/>
            <w:noWrap/>
            <w:vAlign w:val="center"/>
          </w:tcPr>
          <w:p w:rsidR="009B3E11" w:rsidRPr="004A5A1C" w:rsidRDefault="009B3E11" w:rsidP="00AB74F4">
            <w:pPr>
              <w:widowControl/>
              <w:jc w:val="center"/>
              <w:rPr>
                <w:rFonts w:ascii="Arial" w:hAnsi="Arial" w:cs="Arial"/>
                <w:color w:val="auto"/>
              </w:rPr>
            </w:pPr>
            <w:r>
              <w:rPr>
                <w:rFonts w:ascii="Arial" w:hAnsi="Arial"/>
                <w:color w:val="auto"/>
              </w:rPr>
              <w:t>245/70R19.5</w:t>
            </w:r>
          </w:p>
        </w:tc>
        <w:tc>
          <w:tcPr>
            <w:tcW w:w="623" w:type="pct"/>
            <w:shd w:val="clear" w:color="auto" w:fill="FFFFFF" w:themeFill="background1"/>
            <w:noWrap/>
            <w:vAlign w:val="center"/>
          </w:tcPr>
          <w:p w:rsidR="009B3E11" w:rsidRPr="004A5A1C" w:rsidRDefault="009B3E11" w:rsidP="00AB74F4">
            <w:pPr>
              <w:widowControl/>
              <w:jc w:val="center"/>
              <w:rPr>
                <w:rFonts w:ascii="Arial" w:hAnsi="Arial" w:cs="Arial"/>
                <w:color w:val="auto"/>
              </w:rPr>
            </w:pPr>
            <w:r>
              <w:rPr>
                <w:rFonts w:ascii="Arial" w:hAnsi="Arial"/>
                <w:color w:val="auto"/>
              </w:rPr>
              <w:t>136/134L</w:t>
            </w:r>
          </w:p>
        </w:tc>
        <w:tc>
          <w:tcPr>
            <w:tcW w:w="776" w:type="pct"/>
            <w:shd w:val="clear" w:color="auto" w:fill="FFFFFF" w:themeFill="background1"/>
            <w:noWrap/>
            <w:vAlign w:val="center"/>
          </w:tcPr>
          <w:p w:rsidR="009B3E11" w:rsidRPr="004A5A1C" w:rsidRDefault="00ED734B" w:rsidP="00AB74F4">
            <w:pPr>
              <w:widowControl/>
              <w:jc w:val="center"/>
              <w:rPr>
                <w:rFonts w:ascii="Arial" w:hAnsi="Arial" w:cs="Arial"/>
                <w:color w:val="auto"/>
              </w:rPr>
            </w:pPr>
            <w:r>
              <w:rPr>
                <w:rFonts w:ascii="Arial" w:hAnsi="Arial"/>
                <w:color w:val="auto"/>
              </w:rPr>
              <w:t>D/C W1 71</w:t>
            </w:r>
            <w:r w:rsidR="009B3E11">
              <w:rPr>
                <w:rFonts w:ascii="Arial" w:hAnsi="Arial"/>
                <w:color w:val="auto"/>
              </w:rPr>
              <w:t>dB</w:t>
            </w:r>
          </w:p>
        </w:tc>
        <w:tc>
          <w:tcPr>
            <w:tcW w:w="661" w:type="pct"/>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Pr>
                <w:rFonts w:ascii="Wingdings" w:hAnsi="Wingdings"/>
                <w:color w:val="auto"/>
              </w:rPr>
              <w:t></w:t>
            </w:r>
          </w:p>
        </w:tc>
        <w:tc>
          <w:tcPr>
            <w:tcW w:w="397" w:type="pct"/>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Pr>
                <w:rFonts w:ascii="Wingdings" w:hAnsi="Wingdings"/>
                <w:color w:val="auto"/>
              </w:rPr>
              <w:t></w:t>
            </w:r>
          </w:p>
        </w:tc>
        <w:tc>
          <w:tcPr>
            <w:tcW w:w="872" w:type="pct"/>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Pr>
                <w:rFonts w:ascii="Wingdings" w:hAnsi="Wingdings"/>
                <w:color w:val="auto"/>
              </w:rPr>
              <w:t></w:t>
            </w:r>
          </w:p>
        </w:tc>
      </w:tr>
      <w:tr w:rsidR="009B3E11" w:rsidRPr="007332ED" w:rsidTr="00ED734B">
        <w:trPr>
          <w:trHeight w:val="300"/>
        </w:trPr>
        <w:tc>
          <w:tcPr>
            <w:tcW w:w="892" w:type="pct"/>
            <w:vMerge/>
            <w:shd w:val="clear" w:color="auto" w:fill="FFFFFF" w:themeFill="background1"/>
            <w:vAlign w:val="center"/>
          </w:tcPr>
          <w:p w:rsidR="009B3E11" w:rsidRPr="004A5A1C" w:rsidRDefault="009B3E11" w:rsidP="009B3E11">
            <w:pPr>
              <w:widowControl/>
              <w:jc w:val="center"/>
              <w:rPr>
                <w:rFonts w:ascii="Arial" w:hAnsi="Arial" w:cs="Arial"/>
                <w:b/>
                <w:color w:val="auto"/>
                <w:lang w:val="de-DE"/>
              </w:rPr>
            </w:pPr>
          </w:p>
        </w:tc>
        <w:tc>
          <w:tcPr>
            <w:tcW w:w="779" w:type="pct"/>
            <w:shd w:val="clear" w:color="auto" w:fill="FFFFFF" w:themeFill="background1"/>
            <w:noWrap/>
            <w:vAlign w:val="center"/>
          </w:tcPr>
          <w:p w:rsidR="009B3E11" w:rsidRPr="004A5A1C" w:rsidRDefault="009B3E11" w:rsidP="00AB74F4">
            <w:pPr>
              <w:widowControl/>
              <w:jc w:val="center"/>
              <w:rPr>
                <w:rFonts w:ascii="Arial" w:hAnsi="Arial" w:cs="Arial"/>
                <w:color w:val="auto"/>
              </w:rPr>
            </w:pPr>
            <w:r>
              <w:rPr>
                <w:rFonts w:ascii="Arial" w:hAnsi="Arial"/>
                <w:color w:val="auto"/>
              </w:rPr>
              <w:t>265/70R19.5</w:t>
            </w:r>
          </w:p>
        </w:tc>
        <w:tc>
          <w:tcPr>
            <w:tcW w:w="623" w:type="pct"/>
            <w:shd w:val="clear" w:color="auto" w:fill="FFFFFF" w:themeFill="background1"/>
            <w:noWrap/>
            <w:vAlign w:val="center"/>
          </w:tcPr>
          <w:p w:rsidR="009B3E11" w:rsidRPr="004A5A1C" w:rsidRDefault="009B3E11" w:rsidP="00AB74F4">
            <w:pPr>
              <w:widowControl/>
              <w:jc w:val="center"/>
              <w:rPr>
                <w:rFonts w:ascii="Arial" w:hAnsi="Arial" w:cs="Arial"/>
                <w:color w:val="auto"/>
              </w:rPr>
            </w:pPr>
            <w:r>
              <w:rPr>
                <w:rFonts w:ascii="Arial" w:hAnsi="Arial"/>
                <w:color w:val="auto"/>
              </w:rPr>
              <w:t>104/138M</w:t>
            </w:r>
          </w:p>
        </w:tc>
        <w:tc>
          <w:tcPr>
            <w:tcW w:w="776" w:type="pct"/>
            <w:shd w:val="clear" w:color="auto" w:fill="FFFFFF" w:themeFill="background1"/>
            <w:noWrap/>
            <w:vAlign w:val="center"/>
          </w:tcPr>
          <w:p w:rsidR="009B3E11" w:rsidRPr="004A5A1C" w:rsidRDefault="00ED734B" w:rsidP="00AB74F4">
            <w:pPr>
              <w:widowControl/>
              <w:jc w:val="center"/>
              <w:rPr>
                <w:rFonts w:ascii="Arial" w:hAnsi="Arial" w:cs="Arial"/>
                <w:color w:val="auto"/>
              </w:rPr>
            </w:pPr>
            <w:r>
              <w:rPr>
                <w:rFonts w:ascii="Arial" w:hAnsi="Arial"/>
                <w:color w:val="auto"/>
              </w:rPr>
              <w:t>D/C W1 71</w:t>
            </w:r>
            <w:r w:rsidR="009B3E11">
              <w:rPr>
                <w:rFonts w:ascii="Arial" w:hAnsi="Arial"/>
                <w:color w:val="auto"/>
              </w:rPr>
              <w:t>dB</w:t>
            </w:r>
          </w:p>
        </w:tc>
        <w:tc>
          <w:tcPr>
            <w:tcW w:w="661" w:type="pct"/>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Pr>
                <w:rFonts w:ascii="Wingdings" w:hAnsi="Wingdings"/>
                <w:color w:val="auto"/>
              </w:rPr>
              <w:t></w:t>
            </w:r>
          </w:p>
        </w:tc>
        <w:tc>
          <w:tcPr>
            <w:tcW w:w="397" w:type="pct"/>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Pr>
                <w:rFonts w:ascii="Wingdings" w:hAnsi="Wingdings"/>
                <w:color w:val="auto"/>
              </w:rPr>
              <w:t></w:t>
            </w:r>
          </w:p>
        </w:tc>
        <w:tc>
          <w:tcPr>
            <w:tcW w:w="872" w:type="pct"/>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Pr>
                <w:rFonts w:ascii="Wingdings" w:hAnsi="Wingdings"/>
                <w:color w:val="auto"/>
              </w:rPr>
              <w:t></w:t>
            </w:r>
          </w:p>
        </w:tc>
      </w:tr>
    </w:tbl>
    <w:p w:rsidR="004D76A2" w:rsidRDefault="004D76A2" w:rsidP="006D2055">
      <w:pPr>
        <w:spacing w:line="360" w:lineRule="auto"/>
        <w:rPr>
          <w:bCs/>
          <w:sz w:val="21"/>
          <w:szCs w:val="21"/>
          <w:lang w:val="de-DE"/>
        </w:rPr>
      </w:pPr>
    </w:p>
    <w:p w:rsidR="009672A3" w:rsidRDefault="009672A3" w:rsidP="006D2055">
      <w:pPr>
        <w:spacing w:line="360" w:lineRule="auto"/>
        <w:rPr>
          <w:bCs/>
          <w:sz w:val="21"/>
          <w:szCs w:val="21"/>
          <w:lang w:val="de-DE"/>
        </w:rPr>
      </w:pPr>
    </w:p>
    <w:p w:rsidR="00EB3A56" w:rsidRDefault="00EB3A56">
      <w:pPr>
        <w:widowControl/>
        <w:suppressAutoHyphens w:val="0"/>
        <w:jc w:val="left"/>
        <w:rPr>
          <w:bCs/>
          <w:sz w:val="21"/>
          <w:szCs w:val="21"/>
          <w:lang w:val="de-DE"/>
        </w:rPr>
      </w:pPr>
      <w:r>
        <w:rPr>
          <w:bCs/>
          <w:sz w:val="21"/>
          <w:szCs w:val="21"/>
          <w:lang w:val="de-DE"/>
        </w:rPr>
        <w:br w:type="page"/>
      </w:r>
    </w:p>
    <w:p w:rsidR="009672A3" w:rsidRDefault="009672A3" w:rsidP="006D2055">
      <w:pPr>
        <w:spacing w:line="360" w:lineRule="auto"/>
        <w:rPr>
          <w:bCs/>
          <w:sz w:val="21"/>
          <w:szCs w:val="21"/>
          <w:lang w:val="de-DE"/>
        </w:rPr>
      </w:pPr>
    </w:p>
    <w:p w:rsidR="008F4254" w:rsidRPr="008F4254" w:rsidRDefault="008F4254" w:rsidP="008F4254">
      <w:pPr>
        <w:widowControl/>
        <w:jc w:val="center"/>
        <w:rPr>
          <w:rFonts w:ascii="Arial" w:hAnsi="Arial" w:cs="Arial"/>
          <w:b/>
          <w:bCs/>
          <w:color w:val="FF6600"/>
          <w:sz w:val="24"/>
        </w:rPr>
      </w:pPr>
      <w:r>
        <w:rPr>
          <w:rFonts w:ascii="Arial" w:hAnsi="Arial"/>
          <w:b/>
          <w:bCs/>
          <w:color w:val="FF6600"/>
          <w:sz w:val="24"/>
        </w:rPr>
        <w:t>Technical properties of the new electric bus tyre</w:t>
      </w:r>
    </w:p>
    <w:p w:rsidR="008F4254" w:rsidRPr="00EB3A56" w:rsidRDefault="008F4254" w:rsidP="008F4254">
      <w:pPr>
        <w:widowControl/>
        <w:jc w:val="center"/>
        <w:rPr>
          <w:rFonts w:ascii="Arial" w:hAnsi="Arial" w:cs="Arial"/>
          <w:b/>
          <w:bCs/>
          <w:color w:val="FF6600"/>
          <w:sz w:val="24"/>
        </w:rPr>
      </w:pPr>
    </w:p>
    <w:p w:rsidR="008F4254" w:rsidRPr="00EB3A56" w:rsidRDefault="008F4254" w:rsidP="008F4254">
      <w:pPr>
        <w:widowControl/>
        <w:jc w:val="center"/>
        <w:rPr>
          <w:rFonts w:ascii="Arial" w:hAnsi="Arial" w:cs="Arial"/>
          <w:b/>
          <w:bCs/>
          <w:color w:val="FF6600"/>
          <w:sz w:val="24"/>
        </w:rPr>
      </w:pPr>
    </w:p>
    <w:p w:rsidR="00F16A4C" w:rsidRDefault="009806F2" w:rsidP="00F16A4C">
      <w:pPr>
        <w:widowControl/>
        <w:jc w:val="center"/>
        <w:rPr>
          <w:rFonts w:ascii="Arial" w:hAnsi="Arial" w:cs="Arial"/>
          <w:b/>
          <w:bCs/>
          <w:color w:val="FF6600"/>
          <w:sz w:val="24"/>
        </w:rPr>
      </w:pPr>
      <w:r>
        <w:rPr>
          <w:noProof/>
          <w:lang w:val="de-DE" w:eastAsia="de-DE" w:bidi="ar-SA"/>
        </w:rPr>
        <w:drawing>
          <wp:anchor distT="0" distB="0" distL="114300" distR="114300" simplePos="0" relativeHeight="251675648" behindDoc="0" locked="0" layoutInCell="1" allowOverlap="1">
            <wp:simplePos x="0" y="0"/>
            <wp:positionH relativeFrom="column">
              <wp:posOffset>4228465</wp:posOffset>
            </wp:positionH>
            <wp:positionV relativeFrom="paragraph">
              <wp:posOffset>177800</wp:posOffset>
            </wp:positionV>
            <wp:extent cx="1895475" cy="1173480"/>
            <wp:effectExtent l="0" t="0" r="9525" b="7620"/>
            <wp:wrapThrough wrapText="bothSides">
              <wp:wrapPolygon edited="0">
                <wp:start x="0" y="0"/>
                <wp:lineTo x="0" y="21390"/>
                <wp:lineTo x="21491" y="21390"/>
                <wp:lineTo x="21491" y="0"/>
                <wp:lineTo x="0" y="0"/>
              </wp:wrapPolygon>
            </wp:wrapThrough>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95475" cy="1173480"/>
                    </a:xfrm>
                    <a:prstGeom prst="rect">
                      <a:avLst/>
                    </a:prstGeom>
                  </pic:spPr>
                </pic:pic>
              </a:graphicData>
            </a:graphic>
          </wp:anchor>
        </w:drawing>
      </w:r>
    </w:p>
    <w:p w:rsidR="00F16A4C" w:rsidRDefault="00F16A4C" w:rsidP="00F16A4C">
      <w:pPr>
        <w:tabs>
          <w:tab w:val="left" w:pos="142"/>
        </w:tabs>
        <w:spacing w:line="276" w:lineRule="auto"/>
        <w:jc w:val="left"/>
        <w:rPr>
          <w:rFonts w:ascii="Arial" w:hAnsi="Arial" w:cs="Arial"/>
          <w:b/>
          <w:i/>
          <w:sz w:val="18"/>
          <w:szCs w:val="18"/>
          <w:u w:val="single"/>
        </w:rPr>
      </w:pPr>
      <w:r>
        <w:rPr>
          <w:rFonts w:ascii="Arial" w:hAnsi="Arial"/>
          <w:b/>
          <w:i/>
          <w:sz w:val="18"/>
          <w:szCs w:val="18"/>
          <w:u w:val="single"/>
        </w:rPr>
        <w:t>Wide shoulders and reinforced sidewalls</w:t>
      </w:r>
    </w:p>
    <w:p w:rsidR="00F16A4C" w:rsidRDefault="009806F2" w:rsidP="00F16A4C">
      <w:pPr>
        <w:pStyle w:val="Listenabsatz"/>
        <w:numPr>
          <w:ilvl w:val="0"/>
          <w:numId w:val="9"/>
        </w:numPr>
        <w:tabs>
          <w:tab w:val="left" w:pos="142"/>
        </w:tabs>
        <w:suppressAutoHyphens w:val="0"/>
        <w:wordWrap w:val="0"/>
        <w:autoSpaceDE w:val="0"/>
        <w:autoSpaceDN w:val="0"/>
        <w:spacing w:line="276" w:lineRule="auto"/>
        <w:jc w:val="left"/>
        <w:rPr>
          <w:rFonts w:ascii="Arial" w:hAnsi="Arial" w:cs="Arial"/>
          <w:sz w:val="18"/>
          <w:szCs w:val="18"/>
        </w:rPr>
      </w:pPr>
      <w:r>
        <w:rPr>
          <w:rFonts w:ascii="Arial" w:hAnsi="Arial"/>
          <w:sz w:val="18"/>
          <w:szCs w:val="18"/>
        </w:rPr>
        <w:t xml:space="preserve">Wide shoulders and reinforced sidewalls ensure </w:t>
      </w:r>
      <w:r>
        <w:rPr>
          <w:rFonts w:ascii="Arial" w:hAnsi="Arial"/>
          <w:sz w:val="18"/>
          <w:szCs w:val="18"/>
        </w:rPr>
        <w:br/>
        <w:t>excellent wet grip and driving stability</w:t>
      </w:r>
    </w:p>
    <w:p w:rsidR="00F16A4C" w:rsidRDefault="009806F2" w:rsidP="00F16A4C">
      <w:pPr>
        <w:pStyle w:val="Listenabsatz"/>
        <w:numPr>
          <w:ilvl w:val="0"/>
          <w:numId w:val="9"/>
        </w:numPr>
        <w:tabs>
          <w:tab w:val="left" w:pos="142"/>
        </w:tabs>
        <w:suppressAutoHyphens w:val="0"/>
        <w:wordWrap w:val="0"/>
        <w:autoSpaceDE w:val="0"/>
        <w:autoSpaceDN w:val="0"/>
        <w:spacing w:line="276" w:lineRule="auto"/>
        <w:jc w:val="left"/>
        <w:rPr>
          <w:rFonts w:ascii="Arial" w:hAnsi="Arial" w:cs="Arial"/>
          <w:sz w:val="18"/>
          <w:szCs w:val="18"/>
        </w:rPr>
      </w:pPr>
      <w:r>
        <w:rPr>
          <w:rFonts w:ascii="Arial" w:hAnsi="Arial"/>
          <w:sz w:val="18"/>
          <w:szCs w:val="18"/>
        </w:rPr>
        <w:t xml:space="preserve">New shape and position of the sidewall indicator </w:t>
      </w:r>
      <w:r>
        <w:rPr>
          <w:rFonts w:ascii="Arial" w:hAnsi="Arial"/>
          <w:sz w:val="18"/>
          <w:szCs w:val="18"/>
        </w:rPr>
        <w:br/>
        <w:t>makes determining the tyre condition easier</w:t>
      </w:r>
    </w:p>
    <w:p w:rsidR="00414131" w:rsidRPr="00EB3A56" w:rsidRDefault="00414131" w:rsidP="00F16A4C">
      <w:pPr>
        <w:widowControl/>
        <w:snapToGrid w:val="0"/>
        <w:spacing w:line="276" w:lineRule="auto"/>
        <w:jc w:val="left"/>
        <w:rPr>
          <w:rFonts w:ascii="Arial" w:hAnsi="Arial" w:cs="Arial"/>
          <w:b/>
          <w:i/>
          <w:sz w:val="18"/>
          <w:szCs w:val="18"/>
          <w:u w:val="single"/>
        </w:rPr>
      </w:pPr>
    </w:p>
    <w:p w:rsidR="00414131" w:rsidRPr="00EB3A56" w:rsidRDefault="00414131" w:rsidP="00F16A4C">
      <w:pPr>
        <w:widowControl/>
        <w:snapToGrid w:val="0"/>
        <w:spacing w:line="276" w:lineRule="auto"/>
        <w:jc w:val="left"/>
        <w:rPr>
          <w:rFonts w:ascii="Arial" w:hAnsi="Arial" w:cs="Arial"/>
          <w:b/>
          <w:i/>
          <w:sz w:val="18"/>
          <w:szCs w:val="18"/>
          <w:u w:val="single"/>
        </w:rPr>
      </w:pPr>
    </w:p>
    <w:p w:rsidR="009806F2" w:rsidRPr="00EB3A56" w:rsidRDefault="009806F2" w:rsidP="00F16A4C">
      <w:pPr>
        <w:widowControl/>
        <w:snapToGrid w:val="0"/>
        <w:spacing w:line="276" w:lineRule="auto"/>
        <w:jc w:val="left"/>
        <w:rPr>
          <w:rFonts w:ascii="Arial" w:hAnsi="Arial" w:cs="Arial"/>
          <w:b/>
          <w:i/>
          <w:sz w:val="18"/>
          <w:szCs w:val="18"/>
          <w:u w:val="single"/>
        </w:rPr>
      </w:pPr>
    </w:p>
    <w:p w:rsidR="00414131" w:rsidRPr="00EB3A56" w:rsidRDefault="00414131" w:rsidP="00F16A4C">
      <w:pPr>
        <w:widowControl/>
        <w:snapToGrid w:val="0"/>
        <w:spacing w:line="276" w:lineRule="auto"/>
        <w:jc w:val="left"/>
        <w:rPr>
          <w:rFonts w:ascii="Arial" w:hAnsi="Arial" w:cs="Arial"/>
          <w:b/>
          <w:i/>
          <w:sz w:val="18"/>
          <w:szCs w:val="18"/>
          <w:u w:val="single"/>
        </w:rPr>
      </w:pPr>
    </w:p>
    <w:p w:rsidR="00414131" w:rsidRPr="00EB3A56" w:rsidRDefault="00414131" w:rsidP="00F16A4C">
      <w:pPr>
        <w:widowControl/>
        <w:snapToGrid w:val="0"/>
        <w:spacing w:line="276" w:lineRule="auto"/>
        <w:jc w:val="left"/>
        <w:rPr>
          <w:rFonts w:ascii="Arial" w:hAnsi="Arial" w:cs="Arial"/>
          <w:b/>
          <w:i/>
          <w:sz w:val="18"/>
          <w:szCs w:val="18"/>
          <w:u w:val="single"/>
        </w:rPr>
      </w:pPr>
    </w:p>
    <w:p w:rsidR="00F16A4C" w:rsidRDefault="009806F2" w:rsidP="00F16A4C">
      <w:pPr>
        <w:widowControl/>
        <w:snapToGrid w:val="0"/>
        <w:spacing w:line="276" w:lineRule="auto"/>
        <w:jc w:val="left"/>
        <w:rPr>
          <w:rFonts w:ascii="Arial" w:hAnsi="Arial" w:cs="Arial"/>
          <w:b/>
          <w:i/>
          <w:sz w:val="18"/>
          <w:szCs w:val="18"/>
          <w:u w:val="single"/>
        </w:rPr>
      </w:pPr>
      <w:r>
        <w:rPr>
          <w:rFonts w:ascii="Arial" w:hAnsi="Arial"/>
          <w:noProof/>
          <w:sz w:val="18"/>
          <w:szCs w:val="18"/>
          <w:lang w:val="de-DE" w:eastAsia="de-DE" w:bidi="ar-SA"/>
        </w:rPr>
        <w:drawing>
          <wp:anchor distT="0" distB="0" distL="114300" distR="114300" simplePos="0" relativeHeight="251670528" behindDoc="0" locked="0" layoutInCell="1" allowOverlap="1">
            <wp:simplePos x="0" y="0"/>
            <wp:positionH relativeFrom="margin">
              <wp:posOffset>5182870</wp:posOffset>
            </wp:positionH>
            <wp:positionV relativeFrom="paragraph">
              <wp:posOffset>13970</wp:posOffset>
            </wp:positionV>
            <wp:extent cx="953770" cy="597535"/>
            <wp:effectExtent l="0" t="0" r="0" b="0"/>
            <wp:wrapThrough wrapText="bothSides">
              <wp:wrapPolygon edited="0">
                <wp:start x="0" y="0"/>
                <wp:lineTo x="0" y="20659"/>
                <wp:lineTo x="21140" y="20659"/>
                <wp:lineTo x="21140"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3770" cy="597535"/>
                    </a:xfrm>
                    <a:prstGeom prst="rect">
                      <a:avLst/>
                    </a:prstGeom>
                    <a:noFill/>
                  </pic:spPr>
                </pic:pic>
              </a:graphicData>
            </a:graphic>
          </wp:anchor>
        </w:drawing>
      </w:r>
      <w:r>
        <w:rPr>
          <w:noProof/>
          <w:lang w:val="de-DE" w:eastAsia="de-DE" w:bidi="ar-SA"/>
        </w:rPr>
        <w:drawing>
          <wp:anchor distT="0" distB="0" distL="114300" distR="114300" simplePos="0" relativeHeight="251668480" behindDoc="0" locked="0" layoutInCell="1" allowOverlap="1">
            <wp:simplePos x="0" y="0"/>
            <wp:positionH relativeFrom="column">
              <wp:posOffset>4229100</wp:posOffset>
            </wp:positionH>
            <wp:positionV relativeFrom="paragraph">
              <wp:posOffset>6350</wp:posOffset>
            </wp:positionV>
            <wp:extent cx="949960" cy="597535"/>
            <wp:effectExtent l="0" t="0" r="2540" b="0"/>
            <wp:wrapThrough wrapText="bothSides">
              <wp:wrapPolygon edited="0">
                <wp:start x="0" y="0"/>
                <wp:lineTo x="0" y="20659"/>
                <wp:lineTo x="21225" y="20659"/>
                <wp:lineTo x="21225"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9960" cy="597535"/>
                    </a:xfrm>
                    <a:prstGeom prst="rect">
                      <a:avLst/>
                    </a:prstGeom>
                    <a:noFill/>
                  </pic:spPr>
                </pic:pic>
              </a:graphicData>
            </a:graphic>
          </wp:anchor>
        </w:drawing>
      </w:r>
      <w:r>
        <w:rPr>
          <w:rFonts w:ascii="Arial" w:hAnsi="Arial"/>
          <w:b/>
          <w:i/>
          <w:sz w:val="18"/>
          <w:szCs w:val="18"/>
          <w:u w:val="single"/>
        </w:rPr>
        <w:t>Improved tread design</w:t>
      </w:r>
    </w:p>
    <w:p w:rsidR="00F16A4C" w:rsidRDefault="00F16A4C" w:rsidP="00F16A4C">
      <w:pPr>
        <w:pStyle w:val="Listenabsatz"/>
        <w:widowControl/>
        <w:numPr>
          <w:ilvl w:val="0"/>
          <w:numId w:val="10"/>
        </w:numPr>
        <w:suppressAutoHyphens w:val="0"/>
        <w:wordWrap w:val="0"/>
        <w:autoSpaceDE w:val="0"/>
        <w:autoSpaceDN w:val="0"/>
        <w:snapToGrid w:val="0"/>
        <w:spacing w:line="276" w:lineRule="auto"/>
        <w:jc w:val="left"/>
        <w:rPr>
          <w:rFonts w:ascii="Arial" w:hAnsi="Arial" w:cs="Arial"/>
          <w:sz w:val="18"/>
          <w:szCs w:val="18"/>
        </w:rPr>
      </w:pPr>
      <w:r>
        <w:rPr>
          <w:rFonts w:ascii="Arial" w:hAnsi="Arial"/>
          <w:sz w:val="18"/>
          <w:szCs w:val="18"/>
        </w:rPr>
        <w:t>Stabilising 3D tread blocks guarantee improved traction</w:t>
      </w:r>
    </w:p>
    <w:p w:rsidR="00F16A4C" w:rsidRDefault="006B0471" w:rsidP="00F16A4C">
      <w:pPr>
        <w:pStyle w:val="Listenabsatz"/>
        <w:widowControl/>
        <w:numPr>
          <w:ilvl w:val="0"/>
          <w:numId w:val="10"/>
        </w:numPr>
        <w:suppressAutoHyphens w:val="0"/>
        <w:wordWrap w:val="0"/>
        <w:autoSpaceDE w:val="0"/>
        <w:autoSpaceDN w:val="0"/>
        <w:snapToGrid w:val="0"/>
        <w:spacing w:line="276" w:lineRule="auto"/>
        <w:jc w:val="left"/>
        <w:rPr>
          <w:rFonts w:ascii="Arial" w:hAnsi="Arial" w:cs="Arial"/>
          <w:sz w:val="18"/>
          <w:szCs w:val="18"/>
        </w:rPr>
      </w:pPr>
      <w:r>
        <w:rPr>
          <w:rFonts w:ascii="Arial" w:hAnsi="Arial"/>
          <w:sz w:val="18"/>
          <w:szCs w:val="18"/>
        </w:rPr>
        <w:t>Higher mileage through optimised rib spacing</w:t>
      </w:r>
    </w:p>
    <w:p w:rsidR="00F16A4C" w:rsidRDefault="009806F2" w:rsidP="00F16A4C">
      <w:pPr>
        <w:pStyle w:val="Listenabsatz"/>
        <w:widowControl/>
        <w:numPr>
          <w:ilvl w:val="0"/>
          <w:numId w:val="10"/>
        </w:numPr>
        <w:suppressAutoHyphens w:val="0"/>
        <w:wordWrap w:val="0"/>
        <w:autoSpaceDE w:val="0"/>
        <w:autoSpaceDN w:val="0"/>
        <w:snapToGrid w:val="0"/>
        <w:spacing w:line="276" w:lineRule="auto"/>
        <w:jc w:val="left"/>
        <w:rPr>
          <w:rFonts w:ascii="Arial" w:hAnsi="Arial" w:cs="Arial"/>
          <w:sz w:val="18"/>
          <w:szCs w:val="18"/>
        </w:rPr>
      </w:pPr>
      <w:r>
        <w:rPr>
          <w:noProof/>
          <w:lang w:val="de-DE" w:eastAsia="de-DE" w:bidi="ar-SA"/>
        </w:rPr>
        <w:drawing>
          <wp:anchor distT="0" distB="0" distL="114300" distR="114300" simplePos="0" relativeHeight="251674624" behindDoc="0" locked="0" layoutInCell="1" allowOverlap="1">
            <wp:simplePos x="0" y="0"/>
            <wp:positionH relativeFrom="column">
              <wp:posOffset>5184140</wp:posOffset>
            </wp:positionH>
            <wp:positionV relativeFrom="paragraph">
              <wp:posOffset>178435</wp:posOffset>
            </wp:positionV>
            <wp:extent cx="960755" cy="597535"/>
            <wp:effectExtent l="0" t="0" r="0" b="0"/>
            <wp:wrapThrough wrapText="bothSides">
              <wp:wrapPolygon edited="0">
                <wp:start x="0" y="0"/>
                <wp:lineTo x="0" y="20659"/>
                <wp:lineTo x="20986" y="20659"/>
                <wp:lineTo x="20986" y="0"/>
                <wp:lineTo x="0" y="0"/>
              </wp:wrapPolygon>
            </wp:wrapThrough>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0755" cy="597535"/>
                    </a:xfrm>
                    <a:prstGeom prst="rect">
                      <a:avLst/>
                    </a:prstGeom>
                    <a:noFill/>
                  </pic:spPr>
                </pic:pic>
              </a:graphicData>
            </a:graphic>
          </wp:anchor>
        </w:drawing>
      </w:r>
      <w:r>
        <w:rPr>
          <w:noProof/>
          <w:lang w:val="de-DE" w:eastAsia="de-DE" w:bidi="ar-SA"/>
        </w:rPr>
        <w:drawing>
          <wp:anchor distT="0" distB="0" distL="114300" distR="114300" simplePos="0" relativeHeight="251672576" behindDoc="0" locked="0" layoutInCell="1" allowOverlap="1">
            <wp:simplePos x="0" y="0"/>
            <wp:positionH relativeFrom="column">
              <wp:posOffset>4232910</wp:posOffset>
            </wp:positionH>
            <wp:positionV relativeFrom="paragraph">
              <wp:posOffset>173990</wp:posOffset>
            </wp:positionV>
            <wp:extent cx="960755" cy="597535"/>
            <wp:effectExtent l="0" t="0" r="0" b="0"/>
            <wp:wrapThrough wrapText="bothSides">
              <wp:wrapPolygon edited="0">
                <wp:start x="0" y="0"/>
                <wp:lineTo x="0" y="20659"/>
                <wp:lineTo x="20986" y="20659"/>
                <wp:lineTo x="20986" y="0"/>
                <wp:lineTo x="0"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0755" cy="597535"/>
                    </a:xfrm>
                    <a:prstGeom prst="rect">
                      <a:avLst/>
                    </a:prstGeom>
                    <a:noFill/>
                  </pic:spPr>
                </pic:pic>
              </a:graphicData>
            </a:graphic>
          </wp:anchor>
        </w:drawing>
      </w:r>
      <w:r>
        <w:rPr>
          <w:rFonts w:ascii="Arial" w:hAnsi="Arial"/>
          <w:sz w:val="18"/>
          <w:szCs w:val="18"/>
        </w:rPr>
        <w:t xml:space="preserve">Three zigzag grooves guarantee excellent traction, particularly </w:t>
      </w:r>
    </w:p>
    <w:p w:rsidR="006B0471" w:rsidRDefault="006B0471" w:rsidP="006B0471">
      <w:pPr>
        <w:pStyle w:val="Listenabsatz"/>
        <w:widowControl/>
        <w:suppressAutoHyphens w:val="0"/>
        <w:wordWrap w:val="0"/>
        <w:autoSpaceDE w:val="0"/>
        <w:autoSpaceDN w:val="0"/>
        <w:snapToGrid w:val="0"/>
        <w:spacing w:line="276" w:lineRule="auto"/>
        <w:jc w:val="left"/>
        <w:rPr>
          <w:rFonts w:ascii="Arial" w:hAnsi="Arial" w:cs="Arial"/>
          <w:sz w:val="18"/>
          <w:szCs w:val="18"/>
        </w:rPr>
      </w:pPr>
      <w:r>
        <w:rPr>
          <w:rFonts w:ascii="Arial" w:hAnsi="Arial"/>
          <w:sz w:val="18"/>
          <w:szCs w:val="18"/>
        </w:rPr>
        <w:t>in the wet</w:t>
      </w:r>
    </w:p>
    <w:p w:rsidR="00737870" w:rsidRPr="00737870" w:rsidRDefault="00737870" w:rsidP="00737870">
      <w:pPr>
        <w:pStyle w:val="Listenabsatz"/>
        <w:widowControl/>
        <w:numPr>
          <w:ilvl w:val="0"/>
          <w:numId w:val="10"/>
        </w:numPr>
        <w:suppressAutoHyphens w:val="0"/>
        <w:wordWrap w:val="0"/>
        <w:autoSpaceDE w:val="0"/>
        <w:autoSpaceDN w:val="0"/>
        <w:snapToGrid w:val="0"/>
        <w:spacing w:line="276" w:lineRule="auto"/>
        <w:jc w:val="left"/>
        <w:rPr>
          <w:rFonts w:ascii="Arial" w:hAnsi="Arial" w:cs="Arial"/>
          <w:sz w:val="18"/>
          <w:szCs w:val="18"/>
        </w:rPr>
      </w:pPr>
      <w:r>
        <w:rPr>
          <w:rFonts w:ascii="Arial" w:hAnsi="Arial"/>
          <w:sz w:val="18"/>
          <w:szCs w:val="18"/>
        </w:rPr>
        <w:t xml:space="preserve">Adapted shoulder width and removed lugs and ribs ensure more </w:t>
      </w:r>
      <w:r>
        <w:rPr>
          <w:rFonts w:ascii="Arial" w:hAnsi="Arial"/>
          <w:sz w:val="18"/>
          <w:szCs w:val="18"/>
        </w:rPr>
        <w:br/>
        <w:t xml:space="preserve">even wear </w:t>
      </w:r>
    </w:p>
    <w:p w:rsidR="00F16A4C" w:rsidRPr="00EB3A56" w:rsidRDefault="00F16A4C" w:rsidP="00F16A4C">
      <w:pPr>
        <w:widowControl/>
        <w:jc w:val="center"/>
        <w:rPr>
          <w:rFonts w:ascii="Arial" w:hAnsi="Arial" w:cs="Arial"/>
          <w:b/>
          <w:bCs/>
          <w:color w:val="FF6600"/>
          <w:sz w:val="24"/>
        </w:rPr>
      </w:pPr>
    </w:p>
    <w:p w:rsidR="00414131" w:rsidRPr="00EB3A56" w:rsidRDefault="00414131" w:rsidP="00F16A4C">
      <w:pPr>
        <w:widowControl/>
        <w:snapToGrid w:val="0"/>
        <w:spacing w:line="276" w:lineRule="auto"/>
        <w:jc w:val="left"/>
        <w:rPr>
          <w:rFonts w:ascii="Arial" w:hAnsi="Arial" w:cs="Arial"/>
          <w:b/>
          <w:i/>
          <w:sz w:val="18"/>
          <w:szCs w:val="18"/>
          <w:u w:val="single"/>
        </w:rPr>
      </w:pPr>
    </w:p>
    <w:p w:rsidR="00414131" w:rsidRPr="00EB3A56" w:rsidRDefault="00414131" w:rsidP="00F16A4C">
      <w:pPr>
        <w:widowControl/>
        <w:snapToGrid w:val="0"/>
        <w:spacing w:line="276" w:lineRule="auto"/>
        <w:jc w:val="left"/>
        <w:rPr>
          <w:rFonts w:ascii="Arial" w:hAnsi="Arial" w:cs="Arial"/>
          <w:b/>
          <w:i/>
          <w:sz w:val="18"/>
          <w:szCs w:val="18"/>
          <w:u w:val="single"/>
        </w:rPr>
      </w:pPr>
    </w:p>
    <w:p w:rsidR="00F16A4C" w:rsidRDefault="00D11097" w:rsidP="00F16A4C">
      <w:pPr>
        <w:widowControl/>
        <w:snapToGrid w:val="0"/>
        <w:spacing w:line="276" w:lineRule="auto"/>
        <w:jc w:val="left"/>
        <w:rPr>
          <w:rFonts w:ascii="Arial" w:hAnsi="Arial" w:cs="Arial"/>
          <w:b/>
          <w:i/>
          <w:sz w:val="18"/>
          <w:szCs w:val="18"/>
          <w:u w:val="single"/>
        </w:rPr>
      </w:pPr>
      <w:r>
        <w:rPr>
          <w:rFonts w:ascii="Arial" w:hAnsi="Arial"/>
          <w:b/>
          <w:i/>
          <w:sz w:val="18"/>
          <w:szCs w:val="18"/>
          <w:u w:val="single"/>
        </w:rPr>
        <w:t>Innovative rubber compound</w:t>
      </w:r>
    </w:p>
    <w:p w:rsidR="00414131" w:rsidRPr="00A5172C" w:rsidRDefault="004237EA" w:rsidP="00A5172C">
      <w:pPr>
        <w:pStyle w:val="Listenabsatz"/>
        <w:widowControl/>
        <w:numPr>
          <w:ilvl w:val="0"/>
          <w:numId w:val="10"/>
        </w:numPr>
        <w:suppressAutoHyphens w:val="0"/>
        <w:wordWrap w:val="0"/>
        <w:autoSpaceDE w:val="0"/>
        <w:autoSpaceDN w:val="0"/>
        <w:snapToGrid w:val="0"/>
        <w:spacing w:line="276" w:lineRule="auto"/>
        <w:jc w:val="left"/>
        <w:rPr>
          <w:rFonts w:ascii="Arial" w:hAnsi="Arial" w:cs="Arial"/>
          <w:sz w:val="18"/>
          <w:szCs w:val="18"/>
        </w:rPr>
      </w:pPr>
      <w:r>
        <w:rPr>
          <w:rFonts w:ascii="Arial" w:hAnsi="Arial"/>
          <w:bCs/>
          <w:sz w:val="18"/>
          <w:szCs w:val="18"/>
        </w:rPr>
        <w:t>Improved chemical structure makes the tyre more heat-resistant</w:t>
      </w:r>
    </w:p>
    <w:p w:rsidR="00414131" w:rsidRPr="00EB3A56" w:rsidRDefault="00414131" w:rsidP="00414131">
      <w:pPr>
        <w:widowControl/>
        <w:suppressAutoHyphens w:val="0"/>
        <w:wordWrap w:val="0"/>
        <w:autoSpaceDE w:val="0"/>
        <w:autoSpaceDN w:val="0"/>
        <w:snapToGrid w:val="0"/>
        <w:spacing w:line="276" w:lineRule="auto"/>
        <w:jc w:val="left"/>
        <w:rPr>
          <w:rFonts w:ascii="Arial" w:hAnsi="Arial" w:cs="Arial"/>
          <w:sz w:val="18"/>
          <w:szCs w:val="18"/>
        </w:rPr>
      </w:pPr>
    </w:p>
    <w:p w:rsidR="00F16A4C" w:rsidRDefault="00E44B51" w:rsidP="00F16A4C">
      <w:pPr>
        <w:widowControl/>
        <w:jc w:val="center"/>
        <w:rPr>
          <w:bCs/>
          <w:i/>
          <w:sz w:val="21"/>
          <w:szCs w:val="21"/>
          <w:u w:val="single"/>
        </w:rPr>
      </w:pPr>
      <w:r>
        <w:rPr>
          <w:rFonts w:ascii="Helvetica" w:hAnsi="Helvetica"/>
          <w:b/>
          <w:bCs/>
          <w:noProof/>
          <w:color w:val="FF6600"/>
          <w:sz w:val="24"/>
          <w:lang w:val="de-DE" w:eastAsia="de-DE" w:bidi="ar-SA"/>
        </w:rPr>
        <w:drawing>
          <wp:anchor distT="0" distB="0" distL="114300" distR="114300" simplePos="0" relativeHeight="251676672" behindDoc="1" locked="0" layoutInCell="1" allowOverlap="1">
            <wp:simplePos x="0" y="0"/>
            <wp:positionH relativeFrom="margin">
              <wp:posOffset>2947035</wp:posOffset>
            </wp:positionH>
            <wp:positionV relativeFrom="paragraph">
              <wp:posOffset>11430</wp:posOffset>
            </wp:positionV>
            <wp:extent cx="3164840" cy="1083945"/>
            <wp:effectExtent l="0" t="0" r="0" b="1905"/>
            <wp:wrapTight wrapText="bothSides">
              <wp:wrapPolygon edited="0">
                <wp:start x="0" y="0"/>
                <wp:lineTo x="0" y="21258"/>
                <wp:lineTo x="21453" y="21258"/>
                <wp:lineTo x="2145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4840"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A4C" w:rsidRPr="00EB3A56" w:rsidRDefault="00F16A4C" w:rsidP="00F16A4C">
      <w:pPr>
        <w:widowControl/>
        <w:snapToGrid w:val="0"/>
        <w:spacing w:line="276" w:lineRule="auto"/>
        <w:jc w:val="center"/>
        <w:rPr>
          <w:rFonts w:ascii="Helvetica" w:hAnsi="Helvetica" w:cs="Helvetica"/>
          <w:b/>
          <w:bCs/>
          <w:color w:val="FF6600"/>
          <w:sz w:val="24"/>
        </w:rPr>
      </w:pPr>
    </w:p>
    <w:p w:rsidR="00414131" w:rsidRPr="00EB3A56" w:rsidRDefault="00414131" w:rsidP="00F16A4C">
      <w:pPr>
        <w:widowControl/>
        <w:snapToGrid w:val="0"/>
        <w:spacing w:line="276" w:lineRule="auto"/>
        <w:jc w:val="center"/>
        <w:rPr>
          <w:rFonts w:ascii="Helvetica" w:hAnsi="Helvetica" w:cs="Helvetica"/>
          <w:b/>
          <w:bCs/>
          <w:color w:val="FF6600"/>
          <w:sz w:val="24"/>
        </w:rPr>
      </w:pPr>
    </w:p>
    <w:p w:rsidR="004D76A2" w:rsidRPr="00EB3A56" w:rsidRDefault="004D76A2" w:rsidP="006D2055">
      <w:pPr>
        <w:spacing w:line="360" w:lineRule="auto"/>
        <w:rPr>
          <w:bCs/>
          <w:sz w:val="21"/>
          <w:szCs w:val="21"/>
        </w:rPr>
      </w:pPr>
    </w:p>
    <w:p w:rsidR="00414131" w:rsidRPr="00EB3A56" w:rsidRDefault="00414131" w:rsidP="00E44B51">
      <w:pPr>
        <w:spacing w:line="360" w:lineRule="auto"/>
        <w:jc w:val="center"/>
        <w:rPr>
          <w:bCs/>
          <w:sz w:val="21"/>
          <w:szCs w:val="21"/>
        </w:rPr>
      </w:pPr>
    </w:p>
    <w:p w:rsidR="00E44B51" w:rsidRPr="00EB3A56" w:rsidRDefault="00E44B51" w:rsidP="00E44B51">
      <w:pPr>
        <w:snapToGrid w:val="0"/>
        <w:spacing w:line="276" w:lineRule="auto"/>
        <w:jc w:val="center"/>
        <w:rPr>
          <w:rFonts w:ascii="Arial" w:eastAsiaTheme="minorEastAsia" w:hAnsi="Arial" w:cs="Arial"/>
          <w:sz w:val="22"/>
          <w:szCs w:val="22"/>
        </w:rPr>
      </w:pPr>
    </w:p>
    <w:p w:rsidR="00ED734B" w:rsidRDefault="00ED734B" w:rsidP="00ED734B">
      <w:pPr>
        <w:spacing w:after="240"/>
        <w:jc w:val="center"/>
        <w:rPr>
          <w:rFonts w:ascii="Arial" w:hAnsi="Arial"/>
          <w:sz w:val="22"/>
          <w:szCs w:val="22"/>
          <w:lang w:val="de-DE"/>
        </w:rPr>
      </w:pPr>
    </w:p>
    <w:p w:rsidR="008F5EFB" w:rsidRDefault="00537A82" w:rsidP="00ED734B">
      <w:pPr>
        <w:spacing w:after="240"/>
        <w:jc w:val="center"/>
      </w:pPr>
      <w:r w:rsidRPr="00EB3A56">
        <w:rPr>
          <w:rFonts w:ascii="Arial" w:hAnsi="Arial"/>
          <w:sz w:val="22"/>
          <w:szCs w:val="22"/>
          <w:lang w:val="de-DE"/>
        </w:rPr>
        <w:t># # #</w:t>
      </w:r>
    </w:p>
    <w:sectPr w:rsidR="008F5EFB" w:rsidSect="007C4D8D">
      <w:headerReference w:type="default" r:id="rId14"/>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0CB" w:rsidRDefault="005540CB">
      <w:r>
        <w:separator/>
      </w:r>
    </w:p>
  </w:endnote>
  <w:endnote w:type="continuationSeparator" w:id="0">
    <w:p w:rsidR="005540CB" w:rsidRDefault="0055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0CB" w:rsidRDefault="005540CB">
      <w:r>
        <w:separator/>
      </w:r>
    </w:p>
  </w:footnote>
  <w:footnote w:type="continuationSeparator" w:id="0">
    <w:p w:rsidR="005540CB" w:rsidRDefault="00554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12" w:rsidRDefault="004A0D40">
    <w:pPr>
      <w:pStyle w:val="Kopfzeile"/>
    </w:pPr>
    <w:r>
      <w:rPr>
        <w:noProof/>
        <w:lang w:val="de-DE" w:eastAsia="de-DE" w:bidi="ar-SA"/>
      </w:rPr>
      <w:drawing>
        <wp:inline distT="0" distB="0" distL="0" distR="0">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1F3995"/>
    <w:multiLevelType w:val="hybridMultilevel"/>
    <w:tmpl w:val="665A26C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DB768A4"/>
    <w:multiLevelType w:val="hybridMultilevel"/>
    <w:tmpl w:val="1A8E32D2"/>
    <w:lvl w:ilvl="0" w:tplc="777C73D4">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6994C2E"/>
    <w:multiLevelType w:val="hybridMultilevel"/>
    <w:tmpl w:val="5A500D0C"/>
    <w:lvl w:ilvl="0" w:tplc="6912571C">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5"/>
  </w:num>
  <w:num w:numId="6">
    <w:abstractNumId w:val="4"/>
  </w:num>
  <w:num w:numId="7">
    <w:abstractNumId w:val="8"/>
  </w:num>
  <w:num w:numId="8">
    <w:abstractNumId w:val="2"/>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de-DE" w:vendorID="64" w:dllVersion="131078" w:nlCheck="1" w:checkStyle="1"/>
  <w:proofState w:spelling="clean" w:grammar="clean"/>
  <w:defaultTabStop w:val="80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5C7D"/>
    <w:rsid w:val="00007934"/>
    <w:rsid w:val="00007D2F"/>
    <w:rsid w:val="0001148C"/>
    <w:rsid w:val="00015B91"/>
    <w:rsid w:val="000210E7"/>
    <w:rsid w:val="000332FD"/>
    <w:rsid w:val="00037F89"/>
    <w:rsid w:val="00042B26"/>
    <w:rsid w:val="00046E26"/>
    <w:rsid w:val="00065D1A"/>
    <w:rsid w:val="000707C2"/>
    <w:rsid w:val="00072C60"/>
    <w:rsid w:val="0008133E"/>
    <w:rsid w:val="000B01AA"/>
    <w:rsid w:val="000B78B2"/>
    <w:rsid w:val="000B7F76"/>
    <w:rsid w:val="000C38D5"/>
    <w:rsid w:val="000D0075"/>
    <w:rsid w:val="000D5F0B"/>
    <w:rsid w:val="000E1099"/>
    <w:rsid w:val="000E504D"/>
    <w:rsid w:val="000E5B09"/>
    <w:rsid w:val="000E7AE6"/>
    <w:rsid w:val="000F05BF"/>
    <w:rsid w:val="000F383B"/>
    <w:rsid w:val="000F6C5B"/>
    <w:rsid w:val="000F728A"/>
    <w:rsid w:val="00105018"/>
    <w:rsid w:val="0011365F"/>
    <w:rsid w:val="0011511D"/>
    <w:rsid w:val="00116676"/>
    <w:rsid w:val="00117BC6"/>
    <w:rsid w:val="00123BAC"/>
    <w:rsid w:val="001305C0"/>
    <w:rsid w:val="00132F98"/>
    <w:rsid w:val="00145950"/>
    <w:rsid w:val="00147EB6"/>
    <w:rsid w:val="00150E1A"/>
    <w:rsid w:val="00153A3C"/>
    <w:rsid w:val="00161955"/>
    <w:rsid w:val="00163920"/>
    <w:rsid w:val="00172F53"/>
    <w:rsid w:val="00174A7D"/>
    <w:rsid w:val="00174AC5"/>
    <w:rsid w:val="001824F2"/>
    <w:rsid w:val="00183EA8"/>
    <w:rsid w:val="00186210"/>
    <w:rsid w:val="0019686F"/>
    <w:rsid w:val="001A4D95"/>
    <w:rsid w:val="001B0120"/>
    <w:rsid w:val="001B3DFD"/>
    <w:rsid w:val="001B5CB0"/>
    <w:rsid w:val="001B6913"/>
    <w:rsid w:val="001B770D"/>
    <w:rsid w:val="001C306C"/>
    <w:rsid w:val="001C4688"/>
    <w:rsid w:val="001C50A7"/>
    <w:rsid w:val="001D1A33"/>
    <w:rsid w:val="001D64BF"/>
    <w:rsid w:val="001D66F8"/>
    <w:rsid w:val="001E02D0"/>
    <w:rsid w:val="001E1CA4"/>
    <w:rsid w:val="001E50B3"/>
    <w:rsid w:val="001E5577"/>
    <w:rsid w:val="001E5860"/>
    <w:rsid w:val="001E68CD"/>
    <w:rsid w:val="001F21D1"/>
    <w:rsid w:val="001F2CE5"/>
    <w:rsid w:val="00211F3C"/>
    <w:rsid w:val="0021380A"/>
    <w:rsid w:val="0021711F"/>
    <w:rsid w:val="00217822"/>
    <w:rsid w:val="0023494D"/>
    <w:rsid w:val="00242941"/>
    <w:rsid w:val="00253B1B"/>
    <w:rsid w:val="00256B14"/>
    <w:rsid w:val="00261521"/>
    <w:rsid w:val="002643E7"/>
    <w:rsid w:val="00264A09"/>
    <w:rsid w:val="0027303F"/>
    <w:rsid w:val="00273B3A"/>
    <w:rsid w:val="00276D86"/>
    <w:rsid w:val="00276E22"/>
    <w:rsid w:val="002821C3"/>
    <w:rsid w:val="0028419B"/>
    <w:rsid w:val="0028658D"/>
    <w:rsid w:val="00286C34"/>
    <w:rsid w:val="002935DB"/>
    <w:rsid w:val="002950E1"/>
    <w:rsid w:val="00295CC7"/>
    <w:rsid w:val="002A1A77"/>
    <w:rsid w:val="002A6165"/>
    <w:rsid w:val="002A69FD"/>
    <w:rsid w:val="002B05CA"/>
    <w:rsid w:val="002B0B11"/>
    <w:rsid w:val="002B3444"/>
    <w:rsid w:val="002B3A4B"/>
    <w:rsid w:val="002C7CC7"/>
    <w:rsid w:val="002D644E"/>
    <w:rsid w:val="002D6D16"/>
    <w:rsid w:val="002E0AF9"/>
    <w:rsid w:val="002E4D2B"/>
    <w:rsid w:val="003027A0"/>
    <w:rsid w:val="00310D49"/>
    <w:rsid w:val="00310DD9"/>
    <w:rsid w:val="003149F7"/>
    <w:rsid w:val="00316C70"/>
    <w:rsid w:val="00322512"/>
    <w:rsid w:val="00322EAD"/>
    <w:rsid w:val="00330401"/>
    <w:rsid w:val="00332260"/>
    <w:rsid w:val="00336957"/>
    <w:rsid w:val="00337274"/>
    <w:rsid w:val="003402E0"/>
    <w:rsid w:val="00343E64"/>
    <w:rsid w:val="003479C5"/>
    <w:rsid w:val="00350F43"/>
    <w:rsid w:val="0035163F"/>
    <w:rsid w:val="0035245F"/>
    <w:rsid w:val="00353AEC"/>
    <w:rsid w:val="003545E4"/>
    <w:rsid w:val="00355357"/>
    <w:rsid w:val="00355834"/>
    <w:rsid w:val="00362F5D"/>
    <w:rsid w:val="003705E5"/>
    <w:rsid w:val="0037309A"/>
    <w:rsid w:val="00382B70"/>
    <w:rsid w:val="00385181"/>
    <w:rsid w:val="003864D0"/>
    <w:rsid w:val="003A6919"/>
    <w:rsid w:val="003C2C07"/>
    <w:rsid w:val="003C5F06"/>
    <w:rsid w:val="003C6318"/>
    <w:rsid w:val="003C6392"/>
    <w:rsid w:val="003C69FA"/>
    <w:rsid w:val="003C6BA6"/>
    <w:rsid w:val="003D2CC7"/>
    <w:rsid w:val="003D37F2"/>
    <w:rsid w:val="003E3350"/>
    <w:rsid w:val="003E52CE"/>
    <w:rsid w:val="003E7192"/>
    <w:rsid w:val="003F06CF"/>
    <w:rsid w:val="00402F20"/>
    <w:rsid w:val="00413C13"/>
    <w:rsid w:val="00414131"/>
    <w:rsid w:val="004237EA"/>
    <w:rsid w:val="004328DE"/>
    <w:rsid w:val="004371CC"/>
    <w:rsid w:val="00441CF6"/>
    <w:rsid w:val="00444C13"/>
    <w:rsid w:val="004505DA"/>
    <w:rsid w:val="00454798"/>
    <w:rsid w:val="00456D85"/>
    <w:rsid w:val="00457514"/>
    <w:rsid w:val="004640F5"/>
    <w:rsid w:val="00464636"/>
    <w:rsid w:val="004669C0"/>
    <w:rsid w:val="004709F0"/>
    <w:rsid w:val="00471B19"/>
    <w:rsid w:val="00474807"/>
    <w:rsid w:val="00475B2E"/>
    <w:rsid w:val="004806D6"/>
    <w:rsid w:val="00481CBF"/>
    <w:rsid w:val="00490A0D"/>
    <w:rsid w:val="00490ABB"/>
    <w:rsid w:val="00492DD9"/>
    <w:rsid w:val="00494204"/>
    <w:rsid w:val="00497476"/>
    <w:rsid w:val="00497D50"/>
    <w:rsid w:val="004A0D40"/>
    <w:rsid w:val="004A5A1C"/>
    <w:rsid w:val="004B0774"/>
    <w:rsid w:val="004B0FDB"/>
    <w:rsid w:val="004B4FF9"/>
    <w:rsid w:val="004C0BF7"/>
    <w:rsid w:val="004C59E3"/>
    <w:rsid w:val="004D76A2"/>
    <w:rsid w:val="004E6DC0"/>
    <w:rsid w:val="004F042B"/>
    <w:rsid w:val="004F0F5C"/>
    <w:rsid w:val="004F22B0"/>
    <w:rsid w:val="004F4650"/>
    <w:rsid w:val="004F6452"/>
    <w:rsid w:val="005131AB"/>
    <w:rsid w:val="0051481D"/>
    <w:rsid w:val="00516754"/>
    <w:rsid w:val="00521642"/>
    <w:rsid w:val="0052398E"/>
    <w:rsid w:val="00526884"/>
    <w:rsid w:val="00527667"/>
    <w:rsid w:val="005319AE"/>
    <w:rsid w:val="00534087"/>
    <w:rsid w:val="005377A3"/>
    <w:rsid w:val="00537A82"/>
    <w:rsid w:val="005409F1"/>
    <w:rsid w:val="0054198B"/>
    <w:rsid w:val="00545866"/>
    <w:rsid w:val="005476DB"/>
    <w:rsid w:val="00552AA7"/>
    <w:rsid w:val="005540CB"/>
    <w:rsid w:val="005613D5"/>
    <w:rsid w:val="00565C88"/>
    <w:rsid w:val="00576299"/>
    <w:rsid w:val="00580D4A"/>
    <w:rsid w:val="00587FE5"/>
    <w:rsid w:val="00597C75"/>
    <w:rsid w:val="005A0B00"/>
    <w:rsid w:val="005A1096"/>
    <w:rsid w:val="005A1295"/>
    <w:rsid w:val="005A5A40"/>
    <w:rsid w:val="005B3E4C"/>
    <w:rsid w:val="005B7176"/>
    <w:rsid w:val="005C2BC8"/>
    <w:rsid w:val="005E2C3D"/>
    <w:rsid w:val="005E387E"/>
    <w:rsid w:val="005E629B"/>
    <w:rsid w:val="005E7787"/>
    <w:rsid w:val="005F5154"/>
    <w:rsid w:val="005F578C"/>
    <w:rsid w:val="005F6CA2"/>
    <w:rsid w:val="00600B02"/>
    <w:rsid w:val="00607002"/>
    <w:rsid w:val="006104F7"/>
    <w:rsid w:val="00610A7A"/>
    <w:rsid w:val="00623E1A"/>
    <w:rsid w:val="00634012"/>
    <w:rsid w:val="0063409E"/>
    <w:rsid w:val="006369D3"/>
    <w:rsid w:val="00643A99"/>
    <w:rsid w:val="0064744E"/>
    <w:rsid w:val="0065328F"/>
    <w:rsid w:val="00655428"/>
    <w:rsid w:val="00656AB1"/>
    <w:rsid w:val="00665625"/>
    <w:rsid w:val="0066590E"/>
    <w:rsid w:val="00666B30"/>
    <w:rsid w:val="006828D9"/>
    <w:rsid w:val="00694D9B"/>
    <w:rsid w:val="006A0748"/>
    <w:rsid w:val="006A5AB7"/>
    <w:rsid w:val="006A5B18"/>
    <w:rsid w:val="006A6B65"/>
    <w:rsid w:val="006B0471"/>
    <w:rsid w:val="006B09B4"/>
    <w:rsid w:val="006B21DA"/>
    <w:rsid w:val="006B6C6E"/>
    <w:rsid w:val="006C3B72"/>
    <w:rsid w:val="006D2055"/>
    <w:rsid w:val="006D3182"/>
    <w:rsid w:val="006E3676"/>
    <w:rsid w:val="006E731F"/>
    <w:rsid w:val="006F7301"/>
    <w:rsid w:val="006F7D6C"/>
    <w:rsid w:val="007038E8"/>
    <w:rsid w:val="007121B6"/>
    <w:rsid w:val="00712A4A"/>
    <w:rsid w:val="00727A9E"/>
    <w:rsid w:val="0073397E"/>
    <w:rsid w:val="00735892"/>
    <w:rsid w:val="007366F3"/>
    <w:rsid w:val="00737870"/>
    <w:rsid w:val="00740E19"/>
    <w:rsid w:val="0074170A"/>
    <w:rsid w:val="0074471C"/>
    <w:rsid w:val="00753B81"/>
    <w:rsid w:val="00763E80"/>
    <w:rsid w:val="00765EB6"/>
    <w:rsid w:val="00770260"/>
    <w:rsid w:val="0077205B"/>
    <w:rsid w:val="00775ECE"/>
    <w:rsid w:val="00782259"/>
    <w:rsid w:val="00784B0F"/>
    <w:rsid w:val="00787D6E"/>
    <w:rsid w:val="007929D2"/>
    <w:rsid w:val="00797CEF"/>
    <w:rsid w:val="007A21B7"/>
    <w:rsid w:val="007A27CA"/>
    <w:rsid w:val="007A6BE4"/>
    <w:rsid w:val="007B5E58"/>
    <w:rsid w:val="007C2167"/>
    <w:rsid w:val="007C4D8D"/>
    <w:rsid w:val="007C7385"/>
    <w:rsid w:val="007D3C03"/>
    <w:rsid w:val="007D7059"/>
    <w:rsid w:val="007E23A4"/>
    <w:rsid w:val="007E323B"/>
    <w:rsid w:val="007E4D38"/>
    <w:rsid w:val="007E6905"/>
    <w:rsid w:val="007F6256"/>
    <w:rsid w:val="008012BD"/>
    <w:rsid w:val="00801E26"/>
    <w:rsid w:val="00804B96"/>
    <w:rsid w:val="00806ABE"/>
    <w:rsid w:val="0081100B"/>
    <w:rsid w:val="00812F19"/>
    <w:rsid w:val="00830533"/>
    <w:rsid w:val="00833274"/>
    <w:rsid w:val="008333FD"/>
    <w:rsid w:val="00843240"/>
    <w:rsid w:val="00843333"/>
    <w:rsid w:val="00844DA4"/>
    <w:rsid w:val="008513B5"/>
    <w:rsid w:val="00857EBB"/>
    <w:rsid w:val="008862AA"/>
    <w:rsid w:val="008923C0"/>
    <w:rsid w:val="00892C20"/>
    <w:rsid w:val="00895E2C"/>
    <w:rsid w:val="008A0079"/>
    <w:rsid w:val="008A296E"/>
    <w:rsid w:val="008B4556"/>
    <w:rsid w:val="008B622D"/>
    <w:rsid w:val="008C2C59"/>
    <w:rsid w:val="008C2D20"/>
    <w:rsid w:val="008C5686"/>
    <w:rsid w:val="008E0414"/>
    <w:rsid w:val="008F411B"/>
    <w:rsid w:val="008F4254"/>
    <w:rsid w:val="008F5EFB"/>
    <w:rsid w:val="00901E8D"/>
    <w:rsid w:val="009025B6"/>
    <w:rsid w:val="0090629F"/>
    <w:rsid w:val="009077AF"/>
    <w:rsid w:val="00910720"/>
    <w:rsid w:val="00920914"/>
    <w:rsid w:val="009273B2"/>
    <w:rsid w:val="00927F28"/>
    <w:rsid w:val="00931FCE"/>
    <w:rsid w:val="009339BE"/>
    <w:rsid w:val="0093430A"/>
    <w:rsid w:val="00935BCF"/>
    <w:rsid w:val="0093727A"/>
    <w:rsid w:val="00945BA0"/>
    <w:rsid w:val="0094731B"/>
    <w:rsid w:val="0095055D"/>
    <w:rsid w:val="00953E3C"/>
    <w:rsid w:val="009639D6"/>
    <w:rsid w:val="009651FC"/>
    <w:rsid w:val="009672A3"/>
    <w:rsid w:val="00972777"/>
    <w:rsid w:val="00973F85"/>
    <w:rsid w:val="00974B91"/>
    <w:rsid w:val="00976556"/>
    <w:rsid w:val="0098055B"/>
    <w:rsid w:val="009806F2"/>
    <w:rsid w:val="0098380F"/>
    <w:rsid w:val="00984CE0"/>
    <w:rsid w:val="00984D92"/>
    <w:rsid w:val="00984D95"/>
    <w:rsid w:val="00986E83"/>
    <w:rsid w:val="00993B46"/>
    <w:rsid w:val="009A3342"/>
    <w:rsid w:val="009A5D39"/>
    <w:rsid w:val="009B1D17"/>
    <w:rsid w:val="009B3220"/>
    <w:rsid w:val="009B3E11"/>
    <w:rsid w:val="009C7AF4"/>
    <w:rsid w:val="009D5008"/>
    <w:rsid w:val="009D7B0F"/>
    <w:rsid w:val="009E1CCD"/>
    <w:rsid w:val="009F1475"/>
    <w:rsid w:val="009F76D5"/>
    <w:rsid w:val="009F787C"/>
    <w:rsid w:val="00A03CF9"/>
    <w:rsid w:val="00A06F33"/>
    <w:rsid w:val="00A100D5"/>
    <w:rsid w:val="00A11F6A"/>
    <w:rsid w:val="00A30159"/>
    <w:rsid w:val="00A34710"/>
    <w:rsid w:val="00A3784B"/>
    <w:rsid w:val="00A5172C"/>
    <w:rsid w:val="00A51963"/>
    <w:rsid w:val="00A54EB3"/>
    <w:rsid w:val="00A5574B"/>
    <w:rsid w:val="00A61314"/>
    <w:rsid w:val="00A6628F"/>
    <w:rsid w:val="00A669C4"/>
    <w:rsid w:val="00A71607"/>
    <w:rsid w:val="00A723E2"/>
    <w:rsid w:val="00A7710E"/>
    <w:rsid w:val="00A81412"/>
    <w:rsid w:val="00A87498"/>
    <w:rsid w:val="00A9664A"/>
    <w:rsid w:val="00AA18A2"/>
    <w:rsid w:val="00AA5544"/>
    <w:rsid w:val="00AB564C"/>
    <w:rsid w:val="00AB74F4"/>
    <w:rsid w:val="00AB7522"/>
    <w:rsid w:val="00AC1D4F"/>
    <w:rsid w:val="00AC2E7D"/>
    <w:rsid w:val="00AC3F03"/>
    <w:rsid w:val="00AD0D5A"/>
    <w:rsid w:val="00AD0DBF"/>
    <w:rsid w:val="00AD1D2A"/>
    <w:rsid w:val="00AE0E77"/>
    <w:rsid w:val="00AE1D42"/>
    <w:rsid w:val="00AF0CDF"/>
    <w:rsid w:val="00AF2284"/>
    <w:rsid w:val="00AF2BF4"/>
    <w:rsid w:val="00AF6D3D"/>
    <w:rsid w:val="00B031DD"/>
    <w:rsid w:val="00B06B7E"/>
    <w:rsid w:val="00B07995"/>
    <w:rsid w:val="00B07B33"/>
    <w:rsid w:val="00B10795"/>
    <w:rsid w:val="00B11A6A"/>
    <w:rsid w:val="00B1442A"/>
    <w:rsid w:val="00B165CA"/>
    <w:rsid w:val="00B16DA0"/>
    <w:rsid w:val="00B31B81"/>
    <w:rsid w:val="00B35145"/>
    <w:rsid w:val="00B3769D"/>
    <w:rsid w:val="00B41B2A"/>
    <w:rsid w:val="00B50EC7"/>
    <w:rsid w:val="00B75E0F"/>
    <w:rsid w:val="00B77636"/>
    <w:rsid w:val="00B77896"/>
    <w:rsid w:val="00B82C01"/>
    <w:rsid w:val="00B86E07"/>
    <w:rsid w:val="00B90E85"/>
    <w:rsid w:val="00B912A4"/>
    <w:rsid w:val="00B92153"/>
    <w:rsid w:val="00BB1EDA"/>
    <w:rsid w:val="00BB2959"/>
    <w:rsid w:val="00BB61EB"/>
    <w:rsid w:val="00BB6B90"/>
    <w:rsid w:val="00BC2E33"/>
    <w:rsid w:val="00BD02C0"/>
    <w:rsid w:val="00BD0981"/>
    <w:rsid w:val="00BD1C72"/>
    <w:rsid w:val="00BD36A8"/>
    <w:rsid w:val="00BD5EC9"/>
    <w:rsid w:val="00C02AEC"/>
    <w:rsid w:val="00C0400F"/>
    <w:rsid w:val="00C06C4D"/>
    <w:rsid w:val="00C137B9"/>
    <w:rsid w:val="00C138C6"/>
    <w:rsid w:val="00C15FED"/>
    <w:rsid w:val="00C1768E"/>
    <w:rsid w:val="00C2476C"/>
    <w:rsid w:val="00C2582D"/>
    <w:rsid w:val="00C3720C"/>
    <w:rsid w:val="00C37B5E"/>
    <w:rsid w:val="00C50A04"/>
    <w:rsid w:val="00C55608"/>
    <w:rsid w:val="00C64052"/>
    <w:rsid w:val="00C662B0"/>
    <w:rsid w:val="00C67962"/>
    <w:rsid w:val="00C72301"/>
    <w:rsid w:val="00C72559"/>
    <w:rsid w:val="00C72A76"/>
    <w:rsid w:val="00C75029"/>
    <w:rsid w:val="00C76CF3"/>
    <w:rsid w:val="00C8243B"/>
    <w:rsid w:val="00C8376D"/>
    <w:rsid w:val="00C904EC"/>
    <w:rsid w:val="00CA599B"/>
    <w:rsid w:val="00CA7290"/>
    <w:rsid w:val="00CC1886"/>
    <w:rsid w:val="00CC4C4A"/>
    <w:rsid w:val="00CC5892"/>
    <w:rsid w:val="00CD22CF"/>
    <w:rsid w:val="00CD47A6"/>
    <w:rsid w:val="00CD49E6"/>
    <w:rsid w:val="00CE106A"/>
    <w:rsid w:val="00CE1920"/>
    <w:rsid w:val="00CE3116"/>
    <w:rsid w:val="00CE77F7"/>
    <w:rsid w:val="00CF0BEA"/>
    <w:rsid w:val="00CF613A"/>
    <w:rsid w:val="00D05619"/>
    <w:rsid w:val="00D06239"/>
    <w:rsid w:val="00D06F56"/>
    <w:rsid w:val="00D06F63"/>
    <w:rsid w:val="00D076C4"/>
    <w:rsid w:val="00D11097"/>
    <w:rsid w:val="00D15FB0"/>
    <w:rsid w:val="00D20057"/>
    <w:rsid w:val="00D22E88"/>
    <w:rsid w:val="00D41067"/>
    <w:rsid w:val="00D44EF8"/>
    <w:rsid w:val="00D5594D"/>
    <w:rsid w:val="00D57D9F"/>
    <w:rsid w:val="00D65D77"/>
    <w:rsid w:val="00D76E1F"/>
    <w:rsid w:val="00D82C1C"/>
    <w:rsid w:val="00D86271"/>
    <w:rsid w:val="00D90FCD"/>
    <w:rsid w:val="00D91122"/>
    <w:rsid w:val="00D91C79"/>
    <w:rsid w:val="00D93726"/>
    <w:rsid w:val="00D9534C"/>
    <w:rsid w:val="00DA2AED"/>
    <w:rsid w:val="00DA35BB"/>
    <w:rsid w:val="00DB3903"/>
    <w:rsid w:val="00DB6F30"/>
    <w:rsid w:val="00DB7DC8"/>
    <w:rsid w:val="00DC6A2D"/>
    <w:rsid w:val="00DD4DE4"/>
    <w:rsid w:val="00DE350E"/>
    <w:rsid w:val="00DE46EE"/>
    <w:rsid w:val="00DE67CB"/>
    <w:rsid w:val="00DF1814"/>
    <w:rsid w:val="00DF3D65"/>
    <w:rsid w:val="00DF4F0E"/>
    <w:rsid w:val="00E00CB3"/>
    <w:rsid w:val="00E3348E"/>
    <w:rsid w:val="00E34CF3"/>
    <w:rsid w:val="00E35F7C"/>
    <w:rsid w:val="00E36A48"/>
    <w:rsid w:val="00E40687"/>
    <w:rsid w:val="00E427BE"/>
    <w:rsid w:val="00E42E29"/>
    <w:rsid w:val="00E439B0"/>
    <w:rsid w:val="00E44B51"/>
    <w:rsid w:val="00E52A5A"/>
    <w:rsid w:val="00E52A7D"/>
    <w:rsid w:val="00E543B5"/>
    <w:rsid w:val="00E6716B"/>
    <w:rsid w:val="00E67864"/>
    <w:rsid w:val="00E72FDA"/>
    <w:rsid w:val="00E7463C"/>
    <w:rsid w:val="00E75B22"/>
    <w:rsid w:val="00E76FAF"/>
    <w:rsid w:val="00E94C4A"/>
    <w:rsid w:val="00E96C0F"/>
    <w:rsid w:val="00EA089F"/>
    <w:rsid w:val="00EB1C45"/>
    <w:rsid w:val="00EB3A56"/>
    <w:rsid w:val="00EB504E"/>
    <w:rsid w:val="00EC353D"/>
    <w:rsid w:val="00EC65C9"/>
    <w:rsid w:val="00EC6923"/>
    <w:rsid w:val="00ED4CA1"/>
    <w:rsid w:val="00ED734B"/>
    <w:rsid w:val="00EE06D1"/>
    <w:rsid w:val="00EE18B1"/>
    <w:rsid w:val="00EE3696"/>
    <w:rsid w:val="00EF4F15"/>
    <w:rsid w:val="00F00E85"/>
    <w:rsid w:val="00F01494"/>
    <w:rsid w:val="00F07D00"/>
    <w:rsid w:val="00F15548"/>
    <w:rsid w:val="00F15E20"/>
    <w:rsid w:val="00F16583"/>
    <w:rsid w:val="00F16A4C"/>
    <w:rsid w:val="00F27617"/>
    <w:rsid w:val="00F30D63"/>
    <w:rsid w:val="00F31F83"/>
    <w:rsid w:val="00F33E72"/>
    <w:rsid w:val="00F350F2"/>
    <w:rsid w:val="00F420E5"/>
    <w:rsid w:val="00F45B3E"/>
    <w:rsid w:val="00F5173E"/>
    <w:rsid w:val="00F5217E"/>
    <w:rsid w:val="00F53911"/>
    <w:rsid w:val="00F53B4F"/>
    <w:rsid w:val="00F61791"/>
    <w:rsid w:val="00F64241"/>
    <w:rsid w:val="00F659A5"/>
    <w:rsid w:val="00F819C7"/>
    <w:rsid w:val="00F848F5"/>
    <w:rsid w:val="00F85129"/>
    <w:rsid w:val="00FA0D63"/>
    <w:rsid w:val="00FA3065"/>
    <w:rsid w:val="00FA353C"/>
    <w:rsid w:val="00FB25E6"/>
    <w:rsid w:val="00FC1034"/>
    <w:rsid w:val="00FC2846"/>
    <w:rsid w:val="00FC797B"/>
    <w:rsid w:val="00FD5FF3"/>
    <w:rsid w:val="00FD79C6"/>
    <w:rsid w:val="00FE1FAF"/>
    <w:rsid w:val="00FE2A62"/>
    <w:rsid w:val="00FE7555"/>
    <w:rsid w:val="00FF7C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08C6EDE0-1645-4A90-9981-6C4EA412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table" w:customStyle="1" w:styleId="Tabellenraster1">
    <w:name w:val="Tabellenraster1"/>
    <w:basedOn w:val="NormaleTabelle"/>
    <w:next w:val="Tabellenraster"/>
    <w:rsid w:val="00FB25E6"/>
    <w:pPr>
      <w:widowControl w:val="0"/>
      <w:wordWrap w:val="0"/>
      <w:autoSpaceDE w:val="0"/>
      <w:autoSpaceDN w:val="0"/>
      <w:jc w:val="both"/>
    </w:pPr>
    <w:rPr>
      <w:rFonts w:eastAsia="Batang"/>
      <w:lang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E50B3"/>
    <w:rPr>
      <w:sz w:val="16"/>
      <w:szCs w:val="16"/>
    </w:rPr>
  </w:style>
  <w:style w:type="paragraph" w:styleId="berarbeitung">
    <w:name w:val="Revision"/>
    <w:hidden/>
    <w:uiPriority w:val="99"/>
    <w:semiHidden/>
    <w:rsid w:val="001E50B3"/>
    <w:rPr>
      <w:color w:val="00000A"/>
    </w:rPr>
  </w:style>
  <w:style w:type="table" w:customStyle="1" w:styleId="TableNormal1">
    <w:name w:val="Table Normal1"/>
    <w:uiPriority w:val="99"/>
    <w:semiHidden/>
    <w:rsid w:val="006D3182"/>
    <w:rPr>
      <w:rFonts w:asciiTheme="minorHAnsi" w:eastAsiaTheme="minorEastAsia" w:hAnsiTheme="minorHAnsi" w:cstheme="minorBidi"/>
      <w:kern w:val="2"/>
      <w:szCs w:val="22"/>
      <w:lang w:eastAsia="ko-KR" w:bidi="ar-SA"/>
    </w:rPr>
    <w:tblPr>
      <w:tblCellMar>
        <w:top w:w="0" w:type="dxa"/>
        <w:left w:w="108" w:type="dxa"/>
        <w:bottom w:w="0" w:type="dxa"/>
        <w:right w:w="108" w:type="dxa"/>
      </w:tblCellMar>
    </w:tblPr>
  </w:style>
  <w:style w:type="character" w:customStyle="1" w:styleId="NichtaufgelsteErwhnung1">
    <w:name w:val="Nicht aufgelöste Erwähnung1"/>
    <w:basedOn w:val="Absatz-Standardschriftart"/>
    <w:uiPriority w:val="99"/>
    <w:semiHidden/>
    <w:unhideWhenUsed/>
    <w:rsid w:val="009806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48997">
      <w:bodyDiv w:val="1"/>
      <w:marLeft w:val="0"/>
      <w:marRight w:val="0"/>
      <w:marTop w:val="0"/>
      <w:marBottom w:val="0"/>
      <w:divBdr>
        <w:top w:val="none" w:sz="0" w:space="0" w:color="auto"/>
        <w:left w:val="none" w:sz="0" w:space="0" w:color="auto"/>
        <w:bottom w:val="none" w:sz="0" w:space="0" w:color="auto"/>
        <w:right w:val="none" w:sz="0" w:space="0" w:color="auto"/>
      </w:divBdr>
    </w:div>
    <w:div w:id="202447740">
      <w:bodyDiv w:val="1"/>
      <w:marLeft w:val="0"/>
      <w:marRight w:val="0"/>
      <w:marTop w:val="0"/>
      <w:marBottom w:val="0"/>
      <w:divBdr>
        <w:top w:val="none" w:sz="0" w:space="0" w:color="auto"/>
        <w:left w:val="none" w:sz="0" w:space="0" w:color="auto"/>
        <w:bottom w:val="none" w:sz="0" w:space="0" w:color="auto"/>
        <w:right w:val="none" w:sz="0" w:space="0" w:color="auto"/>
      </w:divBdr>
    </w:div>
    <w:div w:id="465241942">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293831906">
      <w:bodyDiv w:val="1"/>
      <w:marLeft w:val="0"/>
      <w:marRight w:val="0"/>
      <w:marTop w:val="0"/>
      <w:marBottom w:val="0"/>
      <w:divBdr>
        <w:top w:val="none" w:sz="0" w:space="0" w:color="auto"/>
        <w:left w:val="none" w:sz="0" w:space="0" w:color="auto"/>
        <w:bottom w:val="none" w:sz="0" w:space="0" w:color="auto"/>
        <w:right w:val="none" w:sz="0" w:space="0" w:color="auto"/>
      </w:divBdr>
    </w:div>
    <w:div w:id="1583100722">
      <w:bodyDiv w:val="1"/>
      <w:marLeft w:val="0"/>
      <w:marRight w:val="0"/>
      <w:marTop w:val="0"/>
      <w:marBottom w:val="0"/>
      <w:divBdr>
        <w:top w:val="none" w:sz="0" w:space="0" w:color="auto"/>
        <w:left w:val="none" w:sz="0" w:space="0" w:color="auto"/>
        <w:bottom w:val="none" w:sz="0" w:space="0" w:color="auto"/>
        <w:right w:val="none" w:sz="0" w:space="0" w:color="auto"/>
      </w:divBdr>
      <w:divsChild>
        <w:div w:id="2011903719">
          <w:marLeft w:val="0"/>
          <w:marRight w:val="0"/>
          <w:marTop w:val="0"/>
          <w:marBottom w:val="0"/>
          <w:divBdr>
            <w:top w:val="none" w:sz="0" w:space="0" w:color="auto"/>
            <w:left w:val="none" w:sz="0" w:space="0" w:color="auto"/>
            <w:bottom w:val="none" w:sz="0" w:space="0" w:color="auto"/>
            <w:right w:val="none" w:sz="0" w:space="0" w:color="auto"/>
          </w:divBdr>
          <w:divsChild>
            <w:div w:id="1547831466">
              <w:marLeft w:val="0"/>
              <w:marRight w:val="0"/>
              <w:marTop w:val="0"/>
              <w:marBottom w:val="0"/>
              <w:divBdr>
                <w:top w:val="none" w:sz="0" w:space="0" w:color="auto"/>
                <w:left w:val="none" w:sz="0" w:space="0" w:color="auto"/>
                <w:bottom w:val="none" w:sz="0" w:space="0" w:color="auto"/>
                <w:right w:val="none" w:sz="0" w:space="0" w:color="auto"/>
              </w:divBdr>
              <w:divsChild>
                <w:div w:id="19065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A6FCE-D07C-48BC-BA34-6EDB2CD88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4137</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Microsoft</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 P</cp:lastModifiedBy>
  <cp:revision>4</cp:revision>
  <cp:lastPrinted>2018-09-14T09:40:00Z</cp:lastPrinted>
  <dcterms:created xsi:type="dcterms:W3CDTF">2018-09-14T09:35:00Z</dcterms:created>
  <dcterms:modified xsi:type="dcterms:W3CDTF">2018-09-14T09:40:00Z</dcterms:modified>
  <dc:language>de-DE</dc:language>
</cp:coreProperties>
</file>