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Pr="00C87F8B" w:rsidRDefault="00C764D7" w:rsidP="00C735D8">
      <w:pPr>
        <w:tabs>
          <w:tab w:val="left" w:pos="360"/>
        </w:tabs>
        <w:suppressAutoHyphens/>
        <w:wordWrap/>
        <w:snapToGrid w:val="0"/>
        <w:jc w:val="center"/>
        <w:rPr>
          <w:rFonts w:ascii="Helvetica" w:hAnsi="Helvetica"/>
          <w:b/>
          <w:snapToGrid w:val="0"/>
          <w:color w:val="FF6600"/>
          <w:kern w:val="18"/>
          <w:sz w:val="32"/>
          <w:lang w:val="es-ES"/>
        </w:rPr>
      </w:pPr>
    </w:p>
    <w:p w:rsidR="00C735D8" w:rsidRPr="00C87F8B" w:rsidRDefault="00C735D8" w:rsidP="00C735D8">
      <w:pPr>
        <w:tabs>
          <w:tab w:val="left" w:pos="360"/>
        </w:tabs>
        <w:suppressAutoHyphens/>
        <w:wordWrap/>
        <w:snapToGrid w:val="0"/>
        <w:jc w:val="center"/>
        <w:rPr>
          <w:rFonts w:ascii="Helvetica" w:hAnsi="Helvetica"/>
          <w:b/>
          <w:snapToGrid w:val="0"/>
          <w:color w:val="FF6600"/>
          <w:kern w:val="18"/>
          <w:sz w:val="32"/>
          <w:lang w:val="es-ES"/>
        </w:rPr>
      </w:pPr>
      <w:r w:rsidRPr="00C87F8B">
        <w:rPr>
          <w:rFonts w:ascii="Helvetica" w:hAnsi="Helvetica"/>
          <w:b/>
          <w:snapToGrid w:val="0"/>
          <w:color w:val="FF6600"/>
          <w:sz w:val="32"/>
          <w:lang w:val="es-ES"/>
        </w:rPr>
        <w:t>Hankook Tire presenta sus resultados económicos globales de 2017</w:t>
      </w:r>
    </w:p>
    <w:p w:rsidR="00C735D8" w:rsidRPr="00C87F8B" w:rsidRDefault="00C735D8" w:rsidP="00C735D8">
      <w:pPr>
        <w:tabs>
          <w:tab w:val="left" w:pos="360"/>
        </w:tabs>
        <w:suppressAutoHyphens/>
        <w:wordWrap/>
        <w:snapToGrid w:val="0"/>
        <w:jc w:val="center"/>
        <w:rPr>
          <w:rFonts w:ascii="Helvetica" w:hAnsi="Helvetica"/>
          <w:b/>
          <w:snapToGrid w:val="0"/>
          <w:color w:val="FF6600"/>
          <w:kern w:val="18"/>
          <w:sz w:val="32"/>
          <w:lang w:val="es-ES"/>
        </w:rPr>
      </w:pPr>
    </w:p>
    <w:p w:rsidR="00C735D8" w:rsidRPr="00C87F8B" w:rsidRDefault="00C735D8" w:rsidP="00C764D7">
      <w:pPr>
        <w:tabs>
          <w:tab w:val="left" w:pos="360"/>
        </w:tabs>
        <w:suppressAutoHyphens/>
        <w:wordWrap/>
        <w:snapToGrid w:val="0"/>
        <w:rPr>
          <w:rFonts w:ascii="Times New Roman"/>
          <w:b/>
          <w:snapToGrid w:val="0"/>
          <w:sz w:val="22"/>
          <w:szCs w:val="22"/>
          <w:lang w:val="es-ES"/>
        </w:rPr>
      </w:pPr>
    </w:p>
    <w:p w:rsidR="009F46D2" w:rsidRPr="00C87F8B" w:rsidRDefault="00C87F8B" w:rsidP="00901501">
      <w:pPr>
        <w:tabs>
          <w:tab w:val="left" w:pos="142"/>
        </w:tabs>
        <w:wordWrap/>
        <w:spacing w:line="276" w:lineRule="auto"/>
        <w:rPr>
          <w:rFonts w:ascii="Times New Roman"/>
          <w:b/>
          <w:snapToGrid w:val="0"/>
          <w:sz w:val="22"/>
          <w:lang w:val="es-ES"/>
        </w:rPr>
      </w:pPr>
      <w:r>
        <w:rPr>
          <w:rFonts w:ascii="Times New Roman"/>
          <w:b/>
          <w:snapToGrid w:val="0"/>
          <w:sz w:val="22"/>
          <w:lang w:val="es-ES"/>
        </w:rPr>
        <w:t>L</w:t>
      </w:r>
      <w:r w:rsidR="00A30768" w:rsidRPr="00C87F8B">
        <w:rPr>
          <w:rFonts w:ascii="Times New Roman"/>
          <w:b/>
          <w:snapToGrid w:val="0"/>
          <w:sz w:val="22"/>
          <w:lang w:val="es-ES"/>
        </w:rPr>
        <w:t xml:space="preserve">as ventas de la compañía </w:t>
      </w:r>
      <w:r w:rsidRPr="00C87F8B">
        <w:rPr>
          <w:rFonts w:ascii="Times New Roman"/>
          <w:b/>
          <w:snapToGrid w:val="0"/>
          <w:sz w:val="22"/>
          <w:lang w:val="es-ES"/>
        </w:rPr>
        <w:t xml:space="preserve">en 2017 </w:t>
      </w:r>
      <w:r w:rsidR="00A30768" w:rsidRPr="00C87F8B">
        <w:rPr>
          <w:rFonts w:ascii="Times New Roman"/>
          <w:b/>
          <w:snapToGrid w:val="0"/>
          <w:sz w:val="22"/>
          <w:lang w:val="es-ES"/>
        </w:rPr>
        <w:t xml:space="preserve">aumentaron un 2,9% </w:t>
      </w:r>
      <w:r>
        <w:rPr>
          <w:rFonts w:ascii="Times New Roman"/>
          <w:b/>
          <w:snapToGrid w:val="0"/>
          <w:sz w:val="22"/>
          <w:lang w:val="es-ES"/>
        </w:rPr>
        <w:t>e</w:t>
      </w:r>
      <w:r w:rsidRPr="00C87F8B">
        <w:rPr>
          <w:rFonts w:ascii="Times New Roman"/>
          <w:b/>
          <w:snapToGrid w:val="0"/>
          <w:sz w:val="22"/>
          <w:lang w:val="es-ES"/>
        </w:rPr>
        <w:t xml:space="preserve">n comparación con el ejercicio </w:t>
      </w:r>
      <w:r>
        <w:rPr>
          <w:rFonts w:ascii="Times New Roman"/>
          <w:b/>
          <w:snapToGrid w:val="0"/>
          <w:sz w:val="22"/>
          <w:lang w:val="es-ES"/>
        </w:rPr>
        <w:t xml:space="preserve">fiscal </w:t>
      </w:r>
      <w:r w:rsidRPr="00C87F8B">
        <w:rPr>
          <w:rFonts w:ascii="Times New Roman"/>
          <w:b/>
          <w:snapToGrid w:val="0"/>
          <w:sz w:val="22"/>
          <w:lang w:val="es-ES"/>
        </w:rPr>
        <w:t>de 2016</w:t>
      </w:r>
      <w:r w:rsidR="00A30768" w:rsidRPr="00C87F8B">
        <w:rPr>
          <w:rFonts w:ascii="Times New Roman"/>
          <w:b/>
          <w:snapToGrid w:val="0"/>
          <w:sz w:val="22"/>
          <w:lang w:val="es-ES"/>
        </w:rPr>
        <w:t xml:space="preserve">. </w:t>
      </w:r>
      <w:r w:rsidR="00A30768" w:rsidRPr="00C87F8B">
        <w:rPr>
          <w:rFonts w:ascii="Times New Roman"/>
          <w:b/>
          <w:sz w:val="22"/>
          <w:lang w:val="es-ES"/>
        </w:rPr>
        <w:t xml:space="preserve">Este resultado </w:t>
      </w:r>
      <w:r w:rsidR="00A30768" w:rsidRPr="00C87F8B">
        <w:rPr>
          <w:rFonts w:ascii="Times New Roman"/>
          <w:b/>
          <w:snapToGrid w:val="0"/>
          <w:sz w:val="22"/>
          <w:lang w:val="es-ES"/>
        </w:rPr>
        <w:t xml:space="preserve">se vio favorecido por </w:t>
      </w:r>
      <w:r>
        <w:rPr>
          <w:rFonts w:ascii="Times New Roman"/>
          <w:b/>
          <w:snapToGrid w:val="0"/>
          <w:sz w:val="22"/>
          <w:lang w:val="es-ES"/>
        </w:rPr>
        <w:t>l</w:t>
      </w:r>
      <w:r w:rsidR="00A30768" w:rsidRPr="00C87F8B">
        <w:rPr>
          <w:rFonts w:ascii="Times New Roman"/>
          <w:b/>
          <w:snapToGrid w:val="0"/>
          <w:sz w:val="22"/>
          <w:lang w:val="es-ES"/>
        </w:rPr>
        <w:t xml:space="preserve">a expansión del segmento de EO Premium y por </w:t>
      </w:r>
      <w:r>
        <w:rPr>
          <w:rFonts w:ascii="Times New Roman"/>
          <w:b/>
          <w:snapToGrid w:val="0"/>
          <w:sz w:val="22"/>
          <w:lang w:val="es-ES"/>
        </w:rPr>
        <w:t>el</w:t>
      </w:r>
      <w:r w:rsidR="00A30768" w:rsidRPr="00C87F8B">
        <w:rPr>
          <w:rFonts w:ascii="Times New Roman"/>
          <w:b/>
          <w:snapToGrid w:val="0"/>
          <w:sz w:val="22"/>
          <w:lang w:val="es-ES"/>
        </w:rPr>
        <w:t xml:space="preserve"> </w:t>
      </w:r>
      <w:r>
        <w:rPr>
          <w:rFonts w:ascii="Times New Roman"/>
          <w:b/>
          <w:snapToGrid w:val="0"/>
          <w:sz w:val="22"/>
          <w:lang w:val="es-ES"/>
        </w:rPr>
        <w:t>aumento</w:t>
      </w:r>
      <w:r w:rsidR="00A30768" w:rsidRPr="00C87F8B">
        <w:rPr>
          <w:rFonts w:ascii="Times New Roman"/>
          <w:b/>
          <w:snapToGrid w:val="0"/>
          <w:sz w:val="22"/>
          <w:lang w:val="es-ES"/>
        </w:rPr>
        <w:t xml:space="preserve"> </w:t>
      </w:r>
      <w:r>
        <w:rPr>
          <w:rFonts w:ascii="Times New Roman"/>
          <w:b/>
          <w:snapToGrid w:val="0"/>
          <w:sz w:val="22"/>
          <w:lang w:val="es-ES"/>
        </w:rPr>
        <w:t>de</w:t>
      </w:r>
      <w:r w:rsidR="00A30768" w:rsidRPr="00C87F8B">
        <w:rPr>
          <w:rFonts w:ascii="Times New Roman"/>
          <w:b/>
          <w:snapToGrid w:val="0"/>
          <w:sz w:val="22"/>
          <w:lang w:val="es-ES"/>
        </w:rPr>
        <w:t xml:space="preserve"> las ventas de neumáticos de mayores dimensiones</w:t>
      </w:r>
      <w:r w:rsidR="00A30768" w:rsidRPr="00C87F8B">
        <w:rPr>
          <w:rFonts w:ascii="Times New Roman"/>
          <w:b/>
          <w:iCs/>
          <w:color w:val="000000" w:themeColor="text1"/>
          <w:sz w:val="22"/>
          <w:lang w:val="es-ES"/>
        </w:rPr>
        <w:t xml:space="preserve"> </w:t>
      </w:r>
      <w:r>
        <w:rPr>
          <w:rFonts w:ascii="Times New Roman"/>
          <w:b/>
          <w:iCs/>
          <w:color w:val="000000" w:themeColor="text1"/>
          <w:sz w:val="22"/>
          <w:lang w:val="es-ES"/>
        </w:rPr>
        <w:t>desde las</w:t>
      </w:r>
      <w:r w:rsidR="00A30768" w:rsidRPr="00C87F8B">
        <w:rPr>
          <w:rFonts w:ascii="Times New Roman"/>
          <w:b/>
          <w:iCs/>
          <w:color w:val="000000" w:themeColor="text1"/>
          <w:sz w:val="22"/>
          <w:lang w:val="es-ES"/>
        </w:rPr>
        <w:t xml:space="preserve"> 17 pulgadas </w:t>
      </w:r>
      <w:r w:rsidR="00A30768" w:rsidRPr="00C87F8B">
        <w:rPr>
          <w:rFonts w:ascii="Times New Roman"/>
          <w:b/>
          <w:snapToGrid w:val="0"/>
          <w:sz w:val="22"/>
          <w:lang w:val="es-ES"/>
        </w:rPr>
        <w:t>especialmente en Europa y EE.UU.</w:t>
      </w:r>
    </w:p>
    <w:p w:rsidR="00C735D8" w:rsidRPr="00C87F8B" w:rsidRDefault="00C735D8" w:rsidP="00B749EB">
      <w:pPr>
        <w:tabs>
          <w:tab w:val="left" w:pos="142"/>
        </w:tabs>
        <w:wordWrap/>
        <w:spacing w:line="276" w:lineRule="auto"/>
        <w:rPr>
          <w:rFonts w:ascii="Times New Roman"/>
          <w:b/>
          <w:snapToGrid w:val="0"/>
          <w:sz w:val="22"/>
          <w:szCs w:val="22"/>
          <w:lang w:val="es-ES"/>
        </w:rPr>
      </w:pPr>
    </w:p>
    <w:p w:rsidR="00C735D8" w:rsidRPr="00C87F8B" w:rsidRDefault="00DB793D" w:rsidP="00C735D8">
      <w:pPr>
        <w:tabs>
          <w:tab w:val="left" w:pos="142"/>
        </w:tabs>
        <w:wordWrap/>
        <w:spacing w:line="276" w:lineRule="auto"/>
        <w:rPr>
          <w:rFonts w:ascii="Times New Roman"/>
          <w:kern w:val="0"/>
          <w:sz w:val="21"/>
          <w:lang w:val="es-ES"/>
        </w:rPr>
      </w:pPr>
      <w:r w:rsidRPr="00C87F8B">
        <w:rPr>
          <w:rFonts w:ascii="Times New Roman"/>
          <w:b/>
          <w:i/>
          <w:sz w:val="21"/>
          <w:lang w:val="es-ES"/>
        </w:rPr>
        <w:t xml:space="preserve">Seúl, Corea / Neu-Isenburg, Alemania, </w:t>
      </w:r>
      <w:r w:rsidR="005979D0">
        <w:rPr>
          <w:rFonts w:ascii="Times New Roman"/>
          <w:b/>
          <w:i/>
          <w:sz w:val="21"/>
          <w:lang w:val="es-ES"/>
        </w:rPr>
        <w:t>1</w:t>
      </w:r>
      <w:r w:rsidR="00363D4A">
        <w:rPr>
          <w:rFonts w:ascii="Times New Roman"/>
          <w:b/>
          <w:i/>
          <w:sz w:val="21"/>
          <w:lang w:val="es-ES"/>
        </w:rPr>
        <w:t>4</w:t>
      </w:r>
      <w:bookmarkStart w:id="0" w:name="_GoBack"/>
      <w:bookmarkEnd w:id="0"/>
      <w:r w:rsidRPr="00C87F8B">
        <w:rPr>
          <w:rFonts w:ascii="Times New Roman"/>
          <w:b/>
          <w:i/>
          <w:sz w:val="21"/>
          <w:lang w:val="es-ES"/>
        </w:rPr>
        <w:t xml:space="preserve"> de febrero de 2018 </w:t>
      </w:r>
      <w:r w:rsidRPr="00C87F8B">
        <w:rPr>
          <w:rFonts w:ascii="Times New Roman"/>
          <w:sz w:val="21"/>
          <w:lang w:val="es-ES"/>
        </w:rPr>
        <w:t>– Hankook Tire, el fabricante de neumáticos Premium, ha anunciado sus resultados económicos globales del ejercicio fiscal de 2017 con unas ventas consolidadas de 6</w:t>
      </w:r>
      <w:r w:rsidR="00C87F8B">
        <w:rPr>
          <w:rFonts w:ascii="Times New Roman"/>
          <w:sz w:val="21"/>
          <w:lang w:val="es-ES"/>
        </w:rPr>
        <w:t>,</w:t>
      </w:r>
      <w:r w:rsidRPr="00C87F8B">
        <w:rPr>
          <w:rFonts w:ascii="Times New Roman"/>
          <w:sz w:val="21"/>
          <w:lang w:val="es-ES"/>
        </w:rPr>
        <w:t>81 billones de KRW (5.3</w:t>
      </w:r>
      <w:r w:rsidR="00901501">
        <w:rPr>
          <w:rFonts w:ascii="Times New Roman"/>
          <w:sz w:val="21"/>
          <w:lang w:val="es-ES"/>
        </w:rPr>
        <w:t>37</w:t>
      </w:r>
      <w:r w:rsidRPr="00C87F8B">
        <w:rPr>
          <w:rFonts w:ascii="Times New Roman"/>
          <w:sz w:val="21"/>
          <w:lang w:val="es-ES"/>
        </w:rPr>
        <w:t xml:space="preserve"> millones de euros) y un beneficio operativo de 793.000 millones de KRW (621,8 millones de euros).</w:t>
      </w:r>
    </w:p>
    <w:p w:rsidR="00C735D8" w:rsidRPr="00C87F8B" w:rsidRDefault="00C735D8" w:rsidP="00C735D8">
      <w:pPr>
        <w:tabs>
          <w:tab w:val="left" w:pos="142"/>
        </w:tabs>
        <w:wordWrap/>
        <w:spacing w:line="276" w:lineRule="auto"/>
        <w:rPr>
          <w:rFonts w:ascii="Times New Roman"/>
          <w:kern w:val="0"/>
          <w:sz w:val="21"/>
          <w:lang w:val="es-ES"/>
        </w:rPr>
      </w:pPr>
    </w:p>
    <w:p w:rsidR="00C735D8" w:rsidRPr="00C87F8B" w:rsidRDefault="00407C1A" w:rsidP="00C735D8">
      <w:pPr>
        <w:tabs>
          <w:tab w:val="left" w:pos="142"/>
        </w:tabs>
        <w:wordWrap/>
        <w:spacing w:line="276" w:lineRule="auto"/>
        <w:rPr>
          <w:rFonts w:ascii="Times New Roman"/>
          <w:kern w:val="0"/>
          <w:sz w:val="21"/>
          <w:lang w:val="es-ES"/>
        </w:rPr>
      </w:pPr>
      <w:r w:rsidRPr="00C87F8B">
        <w:rPr>
          <w:rFonts w:ascii="Times New Roman"/>
          <w:sz w:val="21"/>
          <w:lang w:val="es-ES"/>
        </w:rPr>
        <w:t xml:space="preserve">En comparación con los </w:t>
      </w:r>
      <w:r w:rsidR="00C87F8B" w:rsidRPr="00C87F8B">
        <w:rPr>
          <w:rFonts w:ascii="Times New Roman"/>
          <w:sz w:val="21"/>
          <w:lang w:val="es-ES"/>
        </w:rPr>
        <w:t>resultados</w:t>
      </w:r>
      <w:r w:rsidRPr="00C87F8B">
        <w:rPr>
          <w:rFonts w:ascii="Times New Roman"/>
          <w:sz w:val="21"/>
          <w:lang w:val="es-ES"/>
        </w:rPr>
        <w:t xml:space="preserve"> de 2016, las ventas aumentaron un 2,9%. Este crecimiento se atribuye al aumento de las ventas de neumáticos para turismos y SUVs de mayores dimensiones, desde las 17 pulgadas, basándose en la tecnología pionera global y </w:t>
      </w:r>
      <w:r w:rsidR="00C87F8B">
        <w:rPr>
          <w:rFonts w:ascii="Times New Roman"/>
          <w:sz w:val="21"/>
          <w:lang w:val="es-ES"/>
        </w:rPr>
        <w:t xml:space="preserve">en </w:t>
      </w:r>
      <w:r w:rsidRPr="00C87F8B">
        <w:rPr>
          <w:rFonts w:ascii="Times New Roman"/>
          <w:sz w:val="21"/>
          <w:lang w:val="es-ES"/>
        </w:rPr>
        <w:t>la calidad de productos de Hankook Tire. El crecimiento equilibrado en todas las regiones también contribuyó a un aumento de las ventas. El beneficio operativo se redujo un 28%, afectado por factores como el aumento de los precios de las materias primas.</w:t>
      </w:r>
    </w:p>
    <w:p w:rsidR="00C735D8" w:rsidRPr="00C87F8B" w:rsidRDefault="00C735D8" w:rsidP="00C735D8">
      <w:pPr>
        <w:tabs>
          <w:tab w:val="left" w:pos="142"/>
        </w:tabs>
        <w:wordWrap/>
        <w:spacing w:line="276" w:lineRule="auto"/>
        <w:rPr>
          <w:rFonts w:ascii="Times New Roman"/>
          <w:kern w:val="0"/>
          <w:sz w:val="21"/>
          <w:lang w:val="es-ES"/>
        </w:rPr>
      </w:pPr>
    </w:p>
    <w:p w:rsidR="00C735D8" w:rsidRPr="00C87F8B" w:rsidRDefault="00C735D8" w:rsidP="00C735D8">
      <w:pPr>
        <w:tabs>
          <w:tab w:val="left" w:pos="142"/>
        </w:tabs>
        <w:wordWrap/>
        <w:spacing w:line="276" w:lineRule="auto"/>
        <w:rPr>
          <w:rFonts w:ascii="Times New Roman"/>
          <w:kern w:val="0"/>
          <w:sz w:val="21"/>
          <w:lang w:val="es-ES"/>
        </w:rPr>
      </w:pPr>
      <w:r w:rsidRPr="00C87F8B">
        <w:rPr>
          <w:rFonts w:ascii="Times New Roman"/>
          <w:sz w:val="21"/>
          <w:lang w:val="es-ES"/>
        </w:rPr>
        <w:t>Las ventas de neumáticos de grandes pulgadas (más de 17 pulgadas) registraron un 48,4% de las ventas totales</w:t>
      </w:r>
      <w:r w:rsidR="00C87F8B">
        <w:rPr>
          <w:rFonts w:ascii="Times New Roman"/>
          <w:sz w:val="21"/>
          <w:lang w:val="es-ES"/>
        </w:rPr>
        <w:t>, aumentando</w:t>
      </w:r>
      <w:r w:rsidRPr="00C87F8B">
        <w:rPr>
          <w:rFonts w:ascii="Times New Roman"/>
          <w:sz w:val="21"/>
          <w:lang w:val="es-ES"/>
        </w:rPr>
        <w:t xml:space="preserve"> u</w:t>
      </w:r>
      <w:r w:rsidR="00C87F8B">
        <w:rPr>
          <w:rFonts w:ascii="Times New Roman"/>
          <w:sz w:val="21"/>
          <w:lang w:val="es-ES"/>
        </w:rPr>
        <w:t>n 3,9% en comparación con el ejercicio anterior, conduciendo este crecimiento de</w:t>
      </w:r>
      <w:r w:rsidRPr="00C87F8B">
        <w:rPr>
          <w:rFonts w:ascii="Times New Roman"/>
          <w:sz w:val="21"/>
          <w:lang w:val="es-ES"/>
        </w:rPr>
        <w:t xml:space="preserve"> Hankook Tire a</w:t>
      </w:r>
      <w:r w:rsidR="00C87F8B">
        <w:rPr>
          <w:rFonts w:ascii="Times New Roman"/>
          <w:sz w:val="21"/>
          <w:lang w:val="es-ES"/>
        </w:rPr>
        <w:t xml:space="preserve"> convertirse en</w:t>
      </w:r>
      <w:r w:rsidRPr="00C87F8B">
        <w:rPr>
          <w:rFonts w:ascii="Times New Roman"/>
          <w:sz w:val="21"/>
          <w:lang w:val="es-ES"/>
        </w:rPr>
        <w:t xml:space="preserve"> una compañía pionera global. El logro de la compañía se ha visto </w:t>
      </w:r>
      <w:r w:rsidR="00C87F8B">
        <w:rPr>
          <w:rFonts w:ascii="Times New Roman"/>
          <w:sz w:val="21"/>
          <w:lang w:val="es-ES"/>
        </w:rPr>
        <w:t>f</w:t>
      </w:r>
      <w:r w:rsidRPr="00C87F8B">
        <w:rPr>
          <w:rFonts w:ascii="Times New Roman"/>
          <w:sz w:val="21"/>
          <w:lang w:val="es-ES"/>
        </w:rPr>
        <w:t xml:space="preserve">avorecido por el aumento del suministro de neumáticos de equipo original (EO), así como </w:t>
      </w:r>
      <w:r w:rsidR="00C87F8B">
        <w:rPr>
          <w:rFonts w:ascii="Times New Roman"/>
          <w:sz w:val="21"/>
          <w:lang w:val="es-ES"/>
        </w:rPr>
        <w:t xml:space="preserve">de </w:t>
      </w:r>
      <w:r w:rsidRPr="00C87F8B">
        <w:rPr>
          <w:rFonts w:ascii="Times New Roman"/>
          <w:sz w:val="21"/>
          <w:lang w:val="es-ES"/>
        </w:rPr>
        <w:t>neumáticos para el mercado de repuestos (RE) especialmente en Europa y China. Asimismo, el aumento de las ventas de ne</w:t>
      </w:r>
      <w:r w:rsidR="00C87F8B">
        <w:rPr>
          <w:rFonts w:ascii="Times New Roman"/>
          <w:sz w:val="21"/>
          <w:lang w:val="es-ES"/>
        </w:rPr>
        <w:t>umáticos de repuesto debido al refuerzo</w:t>
      </w:r>
      <w:r w:rsidRPr="00C87F8B">
        <w:rPr>
          <w:rFonts w:ascii="Times New Roman"/>
          <w:sz w:val="21"/>
          <w:lang w:val="es-ES"/>
        </w:rPr>
        <w:t xml:space="preserve"> de los canales de distribución en América del Norte y la expansión del suministro de neumáticos de EO a compañías japonesas contribuy</w:t>
      </w:r>
      <w:r w:rsidR="00C87F8B">
        <w:rPr>
          <w:rFonts w:ascii="Times New Roman"/>
          <w:sz w:val="21"/>
          <w:lang w:val="es-ES"/>
        </w:rPr>
        <w:t>ó</w:t>
      </w:r>
      <w:r w:rsidRPr="00C87F8B">
        <w:rPr>
          <w:rFonts w:ascii="Times New Roman"/>
          <w:sz w:val="21"/>
          <w:lang w:val="es-ES"/>
        </w:rPr>
        <w:t xml:space="preserve"> a un crecimiento positivo de las ventas.</w:t>
      </w:r>
    </w:p>
    <w:p w:rsidR="00C735D8" w:rsidRPr="00C87F8B" w:rsidRDefault="00C735D8" w:rsidP="00C735D8">
      <w:pPr>
        <w:tabs>
          <w:tab w:val="left" w:pos="142"/>
        </w:tabs>
        <w:wordWrap/>
        <w:spacing w:line="276" w:lineRule="auto"/>
        <w:rPr>
          <w:rFonts w:ascii="Times New Roman"/>
          <w:kern w:val="0"/>
          <w:sz w:val="21"/>
          <w:lang w:val="es-ES"/>
        </w:rPr>
      </w:pPr>
    </w:p>
    <w:p w:rsidR="00C764D7" w:rsidRPr="00C87F8B" w:rsidRDefault="00C735D8" w:rsidP="00C735D8">
      <w:pPr>
        <w:tabs>
          <w:tab w:val="left" w:pos="142"/>
        </w:tabs>
        <w:wordWrap/>
        <w:spacing w:line="276" w:lineRule="auto"/>
        <w:rPr>
          <w:rFonts w:ascii="Times New Roman" w:eastAsia="Times New Roman"/>
          <w:kern w:val="0"/>
          <w:sz w:val="21"/>
          <w:szCs w:val="21"/>
          <w:lang w:val="es-ES"/>
        </w:rPr>
      </w:pPr>
      <w:r w:rsidRPr="00C87F8B">
        <w:rPr>
          <w:rFonts w:ascii="Times New Roman"/>
          <w:sz w:val="21"/>
          <w:lang w:val="es-ES"/>
        </w:rPr>
        <w:t xml:space="preserve">Con el objetivo de 2018 de alcanzar unos beneficios en las ventas globales de 7,4 billones de KRW y un beneficio operativo de 1,02 billones de KRW, Hankook Tire planea centrarse en </w:t>
      </w:r>
      <w:r w:rsidR="00C87F8B">
        <w:rPr>
          <w:rFonts w:ascii="Times New Roman"/>
          <w:sz w:val="21"/>
          <w:lang w:val="es-ES"/>
        </w:rPr>
        <w:t xml:space="preserve">reforzar </w:t>
      </w:r>
      <w:r w:rsidRPr="00C87F8B">
        <w:rPr>
          <w:rFonts w:ascii="Times New Roman"/>
          <w:sz w:val="21"/>
          <w:lang w:val="es-ES"/>
        </w:rPr>
        <w:t xml:space="preserve">la posición de la compañía como marca Premium mejorando los productos competitivos, expandiendo las ventas de neumáticos de grandes pulgadas en los principales mercados y suministrando continuamente neumáticos de EO para </w:t>
      </w:r>
      <w:r w:rsidR="00C87F8B">
        <w:rPr>
          <w:rFonts w:ascii="Times New Roman"/>
          <w:sz w:val="21"/>
          <w:lang w:val="es-ES"/>
        </w:rPr>
        <w:t xml:space="preserve">los </w:t>
      </w:r>
      <w:r w:rsidRPr="00C87F8B">
        <w:rPr>
          <w:rFonts w:ascii="Times New Roman"/>
          <w:sz w:val="21"/>
          <w:lang w:val="es-ES"/>
        </w:rPr>
        <w:t>nuevos modelos de las principales marcas de automóviles Premium. Asimismo, la co</w:t>
      </w:r>
      <w:r w:rsidR="00901501">
        <w:rPr>
          <w:rFonts w:ascii="Times New Roman"/>
          <w:sz w:val="21"/>
          <w:lang w:val="es-ES"/>
        </w:rPr>
        <w:t xml:space="preserve">mpañía diversificará la gama </w:t>
      </w:r>
      <w:r w:rsidRPr="00C87F8B">
        <w:rPr>
          <w:rFonts w:ascii="Times New Roman"/>
          <w:sz w:val="21"/>
          <w:lang w:val="es-ES"/>
        </w:rPr>
        <w:t>de productos de EO para construir una estructura de beneficios estable. Hankook también optimizará cada estrategia de distribución regional.</w:t>
      </w:r>
    </w:p>
    <w:p w:rsidR="00B749EB" w:rsidRPr="00C87F8B" w:rsidRDefault="00B749EB" w:rsidP="00C764D7">
      <w:pPr>
        <w:tabs>
          <w:tab w:val="left" w:pos="142"/>
        </w:tabs>
        <w:wordWrap/>
        <w:rPr>
          <w:rFonts w:ascii="Times New Roman" w:eastAsia="Times New Roman"/>
          <w:kern w:val="0"/>
          <w:sz w:val="21"/>
          <w:szCs w:val="21"/>
          <w:lang w:val="es-ES"/>
        </w:rPr>
      </w:pPr>
    </w:p>
    <w:p w:rsidR="00B749EB" w:rsidRPr="00C87F8B" w:rsidRDefault="00B749EB" w:rsidP="00C764D7">
      <w:pPr>
        <w:tabs>
          <w:tab w:val="left" w:pos="142"/>
        </w:tabs>
        <w:wordWrap/>
        <w:rPr>
          <w:rFonts w:ascii="Times New Roman" w:eastAsia="Times New Roman"/>
          <w:kern w:val="0"/>
          <w:sz w:val="21"/>
          <w:szCs w:val="21"/>
          <w:lang w:val="es-ES"/>
        </w:rPr>
      </w:pPr>
    </w:p>
    <w:p w:rsidR="00C764D7" w:rsidRPr="00C87F8B" w:rsidRDefault="00C764D7" w:rsidP="00C764D7">
      <w:pPr>
        <w:tabs>
          <w:tab w:val="left" w:pos="142"/>
        </w:tabs>
        <w:wordWrap/>
        <w:rPr>
          <w:rFonts w:ascii="Times New Roman" w:eastAsia="Times New Roman"/>
          <w:kern w:val="0"/>
          <w:sz w:val="21"/>
          <w:szCs w:val="21"/>
          <w:lang w:val="es-ES"/>
        </w:rPr>
      </w:pPr>
    </w:p>
    <w:p w:rsidR="00C764D7" w:rsidRPr="00C87F8B" w:rsidRDefault="00C764D7" w:rsidP="00C764D7">
      <w:pPr>
        <w:tabs>
          <w:tab w:val="left" w:pos="142"/>
        </w:tabs>
        <w:wordWrap/>
        <w:jc w:val="center"/>
        <w:rPr>
          <w:rFonts w:ascii="Times New Roman" w:eastAsia="Times New Roman"/>
          <w:kern w:val="0"/>
          <w:sz w:val="21"/>
          <w:szCs w:val="21"/>
          <w:lang w:val="es-ES"/>
        </w:rPr>
      </w:pPr>
      <w:r w:rsidRPr="00C87F8B">
        <w:rPr>
          <w:rFonts w:ascii="Times New Roman"/>
          <w:sz w:val="21"/>
          <w:lang w:val="es-ES"/>
        </w:rPr>
        <w:t>###</w:t>
      </w:r>
    </w:p>
    <w:p w:rsidR="00C735D8" w:rsidRPr="00C87F8B" w:rsidRDefault="00C735D8" w:rsidP="00C764D7">
      <w:pPr>
        <w:widowControl/>
        <w:wordWrap/>
        <w:autoSpaceDE/>
        <w:autoSpaceDN/>
        <w:spacing w:after="200" w:line="276" w:lineRule="auto"/>
        <w:jc w:val="left"/>
        <w:rPr>
          <w:rFonts w:ascii="Times New Roman" w:eastAsia="Calibri"/>
          <w:b/>
          <w:bCs/>
          <w:kern w:val="0"/>
          <w:sz w:val="21"/>
          <w:szCs w:val="21"/>
          <w:lang w:val="es-ES"/>
        </w:rPr>
      </w:pPr>
      <w:r w:rsidRPr="00C87F8B">
        <w:rPr>
          <w:lang w:val="es-ES"/>
        </w:rPr>
        <w:br w:type="page"/>
      </w:r>
    </w:p>
    <w:p w:rsidR="0036504F" w:rsidRDefault="0036504F" w:rsidP="00C735D8">
      <w:pPr>
        <w:wordWrap/>
        <w:snapToGrid w:val="0"/>
        <w:ind w:rightChars="56" w:right="112"/>
        <w:rPr>
          <w:rFonts w:ascii="Arial" w:hAnsi="Arial"/>
          <w:b/>
          <w:sz w:val="22"/>
          <w:szCs w:val="22"/>
          <w:lang w:val="es-ES"/>
        </w:rPr>
      </w:pPr>
    </w:p>
    <w:p w:rsidR="0036504F" w:rsidRDefault="0036504F" w:rsidP="00C735D8">
      <w:pPr>
        <w:wordWrap/>
        <w:snapToGrid w:val="0"/>
        <w:ind w:rightChars="56" w:right="112"/>
        <w:rPr>
          <w:rFonts w:ascii="Arial" w:hAnsi="Arial"/>
          <w:b/>
          <w:sz w:val="22"/>
          <w:szCs w:val="22"/>
          <w:lang w:val="es-ES"/>
        </w:rPr>
      </w:pPr>
    </w:p>
    <w:p w:rsidR="00C735D8" w:rsidRPr="00C87F8B" w:rsidRDefault="00C735D8" w:rsidP="00C735D8">
      <w:pPr>
        <w:wordWrap/>
        <w:snapToGrid w:val="0"/>
        <w:ind w:rightChars="56" w:right="112"/>
        <w:rPr>
          <w:rFonts w:ascii="Arial" w:hAnsi="Arial" w:cs="Arial"/>
          <w:b/>
          <w:kern w:val="0"/>
          <w:sz w:val="22"/>
          <w:szCs w:val="22"/>
          <w:lang w:val="es-ES"/>
        </w:rPr>
      </w:pPr>
      <w:r w:rsidRPr="00C87F8B">
        <w:rPr>
          <w:rFonts w:ascii="Arial" w:hAnsi="Arial"/>
          <w:b/>
          <w:sz w:val="22"/>
          <w:szCs w:val="22"/>
          <w:lang w:val="es-ES"/>
        </w:rPr>
        <w:t>Q4 2017 Consolidated Financial Result</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87F8B" w:rsidTr="009019C2">
        <w:trPr>
          <w:trHeight w:val="362"/>
        </w:trPr>
        <w:tc>
          <w:tcPr>
            <w:tcW w:w="2587" w:type="dxa"/>
            <w:tcBorders>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Unit: Billion KRW)</w:t>
            </w:r>
          </w:p>
        </w:tc>
        <w:tc>
          <w:tcPr>
            <w:tcW w:w="2587" w:type="dxa"/>
            <w:tcBorders>
              <w:bottom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Q4 FY 2016</w:t>
            </w:r>
          </w:p>
        </w:tc>
        <w:tc>
          <w:tcPr>
            <w:tcW w:w="2587" w:type="dxa"/>
            <w:tcBorders>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Q3 FY 2017</w:t>
            </w:r>
          </w:p>
        </w:tc>
        <w:tc>
          <w:tcPr>
            <w:tcW w:w="2587" w:type="dxa"/>
            <w:tcBorders>
              <w:bottom w:val="double" w:sz="4" w:space="0" w:color="auto"/>
              <w:right w:val="nil"/>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Q4 FY 2017</w:t>
            </w:r>
          </w:p>
        </w:tc>
      </w:tr>
      <w:tr w:rsidR="00C735D8" w:rsidRPr="00C87F8B" w:rsidTr="009019C2">
        <w:trPr>
          <w:trHeight w:val="362"/>
        </w:trPr>
        <w:tc>
          <w:tcPr>
            <w:tcW w:w="2587" w:type="dxa"/>
            <w:tcBorders>
              <w:top w:val="double" w:sz="4" w:space="0" w:color="auto"/>
              <w:right w:val="double" w:sz="4" w:space="0" w:color="auto"/>
            </w:tcBorders>
            <w:vAlign w:val="center"/>
          </w:tcPr>
          <w:p w:rsidR="00C735D8" w:rsidRPr="00C87F8B" w:rsidRDefault="00C735D8" w:rsidP="009019C2">
            <w:pPr>
              <w:wordWrap/>
              <w:snapToGrid w:val="0"/>
              <w:ind w:rightChars="56" w:right="112"/>
              <w:jc w:val="center"/>
              <w:rPr>
                <w:rFonts w:ascii="Arial" w:hAnsi="Arial" w:cs="Arial"/>
                <w:b/>
                <w:color w:val="000000" w:themeColor="text1"/>
                <w:kern w:val="0"/>
                <w:sz w:val="22"/>
                <w:szCs w:val="22"/>
                <w:lang w:val="es-ES"/>
              </w:rPr>
            </w:pPr>
            <w:r w:rsidRPr="00C87F8B">
              <w:rPr>
                <w:rFonts w:ascii="Arial" w:hAnsi="Arial"/>
                <w:b/>
                <w:color w:val="000000" w:themeColor="text1"/>
                <w:sz w:val="22"/>
                <w:szCs w:val="22"/>
                <w:lang w:val="es-ES"/>
              </w:rPr>
              <w:t>Sales</w:t>
            </w:r>
          </w:p>
        </w:tc>
        <w:tc>
          <w:tcPr>
            <w:tcW w:w="2587" w:type="dxa"/>
            <w:tcBorders>
              <w:top w:val="double" w:sz="4" w:space="0" w:color="auto"/>
            </w:tcBorders>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1,610.6</w:t>
            </w:r>
          </w:p>
        </w:tc>
        <w:tc>
          <w:tcPr>
            <w:tcW w:w="2587" w:type="dxa"/>
            <w:tcBorders>
              <w:top w:val="double" w:sz="4" w:space="0" w:color="auto"/>
              <w:right w:val="double" w:sz="4" w:space="0" w:color="auto"/>
            </w:tcBorders>
            <w:shd w:val="clear" w:color="auto" w:fill="auto"/>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1,824.5</w:t>
            </w:r>
          </w:p>
        </w:tc>
        <w:tc>
          <w:tcPr>
            <w:tcW w:w="2587" w:type="dxa"/>
            <w:tcBorders>
              <w:top w:val="double" w:sz="4" w:space="0" w:color="auto"/>
              <w:right w:val="nil"/>
            </w:tcBorders>
            <w:vAlign w:val="center"/>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1,682.8</w:t>
            </w:r>
          </w:p>
        </w:tc>
      </w:tr>
      <w:tr w:rsidR="00C735D8" w:rsidRPr="00C87F8B" w:rsidTr="009019C2">
        <w:trPr>
          <w:trHeight w:val="362"/>
        </w:trPr>
        <w:tc>
          <w:tcPr>
            <w:tcW w:w="2587" w:type="dxa"/>
            <w:tcBorders>
              <w:right w:val="double" w:sz="4" w:space="0" w:color="auto"/>
            </w:tcBorders>
            <w:vAlign w:val="center"/>
          </w:tcPr>
          <w:p w:rsidR="00C735D8" w:rsidRPr="00C87F8B" w:rsidRDefault="00C735D8" w:rsidP="009019C2">
            <w:pPr>
              <w:wordWrap/>
              <w:snapToGrid w:val="0"/>
              <w:ind w:rightChars="56" w:right="112"/>
              <w:jc w:val="center"/>
              <w:rPr>
                <w:rFonts w:ascii="Arial" w:hAnsi="Arial" w:cs="Arial"/>
                <w:b/>
                <w:color w:val="000000" w:themeColor="text1"/>
                <w:kern w:val="0"/>
                <w:sz w:val="22"/>
                <w:szCs w:val="22"/>
                <w:lang w:val="es-ES"/>
              </w:rPr>
            </w:pPr>
            <w:r w:rsidRPr="00C87F8B">
              <w:rPr>
                <w:rFonts w:ascii="Arial" w:hAnsi="Arial"/>
                <w:b/>
                <w:color w:val="000000" w:themeColor="text1"/>
                <w:sz w:val="22"/>
                <w:szCs w:val="22"/>
                <w:lang w:val="es-ES"/>
              </w:rPr>
              <w:t>Operating Profit</w:t>
            </w:r>
          </w:p>
        </w:tc>
        <w:tc>
          <w:tcPr>
            <w:tcW w:w="2587" w:type="dxa"/>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239.2</w:t>
            </w:r>
          </w:p>
        </w:tc>
        <w:tc>
          <w:tcPr>
            <w:tcW w:w="2587" w:type="dxa"/>
            <w:tcBorders>
              <w:right w:val="double" w:sz="4" w:space="0" w:color="auto"/>
            </w:tcBorders>
            <w:shd w:val="clear" w:color="auto" w:fill="auto"/>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217.1</w:t>
            </w:r>
          </w:p>
        </w:tc>
        <w:tc>
          <w:tcPr>
            <w:tcW w:w="2587" w:type="dxa"/>
            <w:tcBorders>
              <w:right w:val="nil"/>
            </w:tcBorders>
            <w:vAlign w:val="center"/>
          </w:tcPr>
          <w:p w:rsidR="00C735D8" w:rsidRPr="00C87F8B" w:rsidRDefault="00C735D8" w:rsidP="009019C2">
            <w:pPr>
              <w:jc w:val="center"/>
              <w:rPr>
                <w:rFonts w:ascii="Arial" w:hAnsi="Arial" w:cs="Arial"/>
                <w:b/>
                <w:color w:val="000000" w:themeColor="text1"/>
                <w:sz w:val="22"/>
                <w:szCs w:val="22"/>
                <w:lang w:val="es-ES"/>
              </w:rPr>
            </w:pPr>
            <w:r w:rsidRPr="00C87F8B">
              <w:rPr>
                <w:rFonts w:ascii="Arial" w:hAnsi="Arial"/>
                <w:b/>
                <w:color w:val="000000" w:themeColor="text1"/>
                <w:sz w:val="22"/>
                <w:szCs w:val="22"/>
                <w:lang w:val="es-ES"/>
              </w:rPr>
              <w:t>139.7</w:t>
            </w:r>
          </w:p>
        </w:tc>
      </w:tr>
    </w:tbl>
    <w:p w:rsidR="00C735D8" w:rsidRPr="00C87F8B" w:rsidRDefault="00C735D8" w:rsidP="00C735D8">
      <w:pPr>
        <w:rPr>
          <w:rFonts w:ascii="Arial" w:hAnsi="Arial" w:cs="Arial"/>
          <w:color w:val="000000" w:themeColor="text1"/>
          <w:sz w:val="22"/>
          <w:szCs w:val="22"/>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87F8B" w:rsidTr="009019C2">
        <w:trPr>
          <w:trHeight w:val="363"/>
        </w:trPr>
        <w:tc>
          <w:tcPr>
            <w:tcW w:w="2587" w:type="dxa"/>
            <w:tcBorders>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color w:val="FFFFFF" w:themeColor="background1"/>
                <w:kern w:val="0"/>
                <w:sz w:val="22"/>
                <w:szCs w:val="22"/>
                <w:lang w:val="es-ES"/>
              </w:rPr>
            </w:pPr>
            <w:r w:rsidRPr="00C87F8B">
              <w:rPr>
                <w:rFonts w:ascii="Arial" w:hAnsi="Arial"/>
                <w:b/>
                <w:color w:val="FFFFFF" w:themeColor="background1"/>
                <w:sz w:val="22"/>
                <w:szCs w:val="22"/>
                <w:lang w:val="es-ES"/>
              </w:rPr>
              <w:t>Q4 FY 2017</w:t>
            </w:r>
          </w:p>
        </w:tc>
      </w:tr>
      <w:tr w:rsidR="00C735D8" w:rsidRPr="00C87F8B" w:rsidTr="009019C2">
        <w:trPr>
          <w:trHeight w:val="363"/>
        </w:trPr>
        <w:tc>
          <w:tcPr>
            <w:tcW w:w="2587" w:type="dxa"/>
            <w:tcBorders>
              <w:top w:val="double" w:sz="4" w:space="0" w:color="auto"/>
              <w:bottom w:val="single" w:sz="4" w:space="0" w:color="auto"/>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1,391.6</w:t>
            </w:r>
          </w:p>
        </w:tc>
        <w:tc>
          <w:tcPr>
            <w:tcW w:w="2587" w:type="dxa"/>
            <w:tcBorders>
              <w:top w:val="double" w:sz="4" w:space="0" w:color="auto"/>
              <w:left w:val="double" w:sz="4" w:space="0" w:color="auto"/>
              <w:bottom w:val="single" w:sz="4" w:space="0" w:color="auto"/>
              <w:right w:val="double" w:sz="4" w:space="0" w:color="auto"/>
            </w:tcBorders>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w:t>
            </w:r>
            <w:r w:rsidR="00901501">
              <w:rPr>
                <w:rFonts w:ascii="Arial" w:hAnsi="Arial"/>
                <w:b/>
                <w:bCs/>
                <w:sz w:val="22"/>
                <w:szCs w:val="22"/>
                <w:lang w:val="es-ES"/>
              </w:rPr>
              <w:t>,</w:t>
            </w:r>
            <w:r w:rsidRPr="00C87F8B">
              <w:rPr>
                <w:rFonts w:ascii="Arial" w:hAnsi="Arial"/>
                <w:b/>
                <w:bCs/>
                <w:sz w:val="22"/>
                <w:szCs w:val="22"/>
                <w:lang w:val="es-ES"/>
              </w:rPr>
              <w:t>611.41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w:t>
            </w:r>
            <w:r w:rsidR="00901501">
              <w:rPr>
                <w:rFonts w:ascii="Arial" w:hAnsi="Arial"/>
                <w:b/>
                <w:bCs/>
                <w:sz w:val="22"/>
                <w:szCs w:val="22"/>
                <w:lang w:val="es-ES"/>
              </w:rPr>
              <w:t>,</w:t>
            </w:r>
            <w:r w:rsidRPr="00C87F8B">
              <w:rPr>
                <w:rFonts w:ascii="Arial" w:hAnsi="Arial"/>
                <w:b/>
                <w:bCs/>
                <w:sz w:val="22"/>
                <w:szCs w:val="22"/>
                <w:lang w:val="es-ES"/>
              </w:rPr>
              <w:t>521.90</w:t>
            </w:r>
          </w:p>
        </w:tc>
      </w:tr>
      <w:tr w:rsidR="00C735D8" w:rsidRPr="00C87F8B" w:rsidTr="009019C2">
        <w:trPr>
          <w:trHeight w:val="363"/>
        </w:trPr>
        <w:tc>
          <w:tcPr>
            <w:tcW w:w="2587" w:type="dxa"/>
            <w:tcBorders>
              <w:bottom w:val="single" w:sz="4" w:space="0" w:color="auto"/>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Operating Profit</w:t>
            </w:r>
          </w:p>
        </w:tc>
        <w:tc>
          <w:tcPr>
            <w:tcW w:w="2587" w:type="dxa"/>
            <w:tcBorders>
              <w:left w:val="double" w:sz="4" w:space="0" w:color="auto"/>
              <w:bottom w:val="single" w:sz="4" w:space="0" w:color="auto"/>
              <w:right w:val="double" w:sz="4" w:space="0" w:color="auto"/>
            </w:tcBorders>
            <w:shd w:val="clear" w:color="auto" w:fill="auto"/>
          </w:tcPr>
          <w:p w:rsidR="00C735D8" w:rsidRPr="00C87F8B" w:rsidRDefault="00C735D8" w:rsidP="009019C2">
            <w:pPr>
              <w:jc w:val="center"/>
              <w:rPr>
                <w:rFonts w:ascii="Arial" w:hAnsi="Arial" w:cs="Arial"/>
                <w:b/>
                <w:kern w:val="0"/>
                <w:sz w:val="22"/>
                <w:szCs w:val="22"/>
                <w:lang w:val="es-ES"/>
              </w:rPr>
            </w:pPr>
            <w:r w:rsidRPr="00C87F8B">
              <w:rPr>
                <w:rFonts w:ascii="Arial" w:hAnsi="Arial"/>
                <w:b/>
                <w:sz w:val="22"/>
                <w:szCs w:val="22"/>
                <w:lang w:val="es-ES"/>
              </w:rPr>
              <w:t>206.6</w:t>
            </w:r>
          </w:p>
        </w:tc>
        <w:tc>
          <w:tcPr>
            <w:tcW w:w="2587" w:type="dxa"/>
            <w:tcBorders>
              <w:left w:val="double" w:sz="4" w:space="0" w:color="auto"/>
              <w:bottom w:val="single" w:sz="4" w:space="0" w:color="auto"/>
              <w:right w:val="double" w:sz="4" w:space="0" w:color="auto"/>
            </w:tcBorders>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191.7</w:t>
            </w:r>
          </w:p>
        </w:tc>
        <w:tc>
          <w:tcPr>
            <w:tcW w:w="2587" w:type="dxa"/>
            <w:tcBorders>
              <w:left w:val="double" w:sz="4" w:space="0" w:color="auto"/>
              <w:bottom w:val="single" w:sz="4" w:space="0" w:color="auto"/>
              <w:right w:val="nil"/>
            </w:tcBorders>
            <w:shd w:val="clear" w:color="auto" w:fill="FFFFFF" w:themeFill="background1"/>
            <w:vAlign w:val="center"/>
          </w:tcPr>
          <w:p w:rsidR="00C735D8" w:rsidRPr="00C87F8B" w:rsidRDefault="00C735D8" w:rsidP="009019C2">
            <w:pPr>
              <w:jc w:val="center"/>
              <w:rPr>
                <w:rFonts w:ascii="Arial" w:hAnsi="Arial" w:cs="Arial"/>
                <w:b/>
                <w:kern w:val="0"/>
                <w:sz w:val="22"/>
                <w:szCs w:val="22"/>
                <w:lang w:val="es-ES"/>
              </w:rPr>
            </w:pPr>
            <w:r w:rsidRPr="00C87F8B">
              <w:rPr>
                <w:rFonts w:ascii="Arial" w:hAnsi="Arial"/>
                <w:b/>
                <w:bCs/>
                <w:sz w:val="22"/>
                <w:szCs w:val="22"/>
                <w:lang w:val="es-ES"/>
              </w:rPr>
              <w:t>126.3</w:t>
            </w:r>
          </w:p>
        </w:tc>
      </w:tr>
    </w:tbl>
    <w:p w:rsidR="00C735D8" w:rsidRPr="00C87F8B" w:rsidRDefault="00C735D8" w:rsidP="00C735D8">
      <w:pPr>
        <w:rPr>
          <w:rFonts w:ascii="Arial" w:hAnsi="Arial" w:cs="Arial"/>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87F8B" w:rsidTr="009019C2">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Q4 FY 2016</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Q3 FY 2017</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Q4 FY 2017</w:t>
            </w:r>
          </w:p>
        </w:tc>
      </w:tr>
      <w:tr w:rsidR="00C735D8" w:rsidRPr="00C87F8B" w:rsidTr="009019C2">
        <w:trPr>
          <w:trHeight w:val="363"/>
        </w:trPr>
        <w:tc>
          <w:tcPr>
            <w:tcW w:w="2587" w:type="dxa"/>
            <w:tcBorders>
              <w:top w:val="double" w:sz="4" w:space="0" w:color="auto"/>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Sales</w:t>
            </w:r>
          </w:p>
        </w:tc>
        <w:tc>
          <w:tcPr>
            <w:tcW w:w="2587" w:type="dxa"/>
            <w:tcBorders>
              <w:top w:val="double" w:sz="4" w:space="0" w:color="auto"/>
              <w:left w:val="double" w:sz="4" w:space="0" w:color="auto"/>
              <w:right w:val="double" w:sz="4" w:space="0" w:color="auto"/>
            </w:tcBorders>
            <w:shd w:val="clear" w:color="auto" w:fill="auto"/>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1,291.5</w:t>
            </w:r>
          </w:p>
        </w:tc>
        <w:tc>
          <w:tcPr>
            <w:tcW w:w="2587" w:type="dxa"/>
            <w:tcBorders>
              <w:top w:val="double" w:sz="4" w:space="0" w:color="auto"/>
              <w:left w:val="double" w:sz="4" w:space="0" w:color="auto"/>
              <w:right w:val="double" w:sz="4" w:space="0" w:color="auto"/>
            </w:tcBorders>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w:t>
            </w:r>
            <w:r w:rsidR="00901501">
              <w:rPr>
                <w:rFonts w:ascii="Arial" w:hAnsi="Arial"/>
                <w:b/>
                <w:bCs/>
                <w:sz w:val="22"/>
                <w:szCs w:val="22"/>
                <w:lang w:val="es-ES"/>
              </w:rPr>
              <w:t>,</w:t>
            </w:r>
            <w:r w:rsidRPr="00C87F8B">
              <w:rPr>
                <w:rFonts w:ascii="Arial" w:hAnsi="Arial"/>
                <w:b/>
                <w:bCs/>
                <w:sz w:val="22"/>
                <w:szCs w:val="22"/>
                <w:lang w:val="es-ES"/>
              </w:rPr>
              <w:t>371.60</w:t>
            </w:r>
          </w:p>
        </w:tc>
        <w:tc>
          <w:tcPr>
            <w:tcW w:w="2587" w:type="dxa"/>
            <w:tcBorders>
              <w:top w:val="double" w:sz="4" w:space="0" w:color="auto"/>
              <w:left w:val="double" w:sz="4" w:space="0" w:color="auto"/>
              <w:right w:val="nil"/>
            </w:tcBorders>
            <w:shd w:val="clear" w:color="auto" w:fill="FFFFFF" w:themeFill="background1"/>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w:t>
            </w:r>
            <w:r w:rsidR="00901501">
              <w:rPr>
                <w:rFonts w:ascii="Arial" w:hAnsi="Arial"/>
                <w:b/>
                <w:bCs/>
                <w:sz w:val="22"/>
                <w:szCs w:val="22"/>
                <w:lang w:val="es-ES"/>
              </w:rPr>
              <w:t>,</w:t>
            </w:r>
            <w:r w:rsidRPr="00C87F8B">
              <w:rPr>
                <w:rFonts w:ascii="Arial" w:hAnsi="Arial"/>
                <w:b/>
                <w:bCs/>
                <w:sz w:val="22"/>
                <w:szCs w:val="22"/>
                <w:lang w:val="es-ES"/>
              </w:rPr>
              <w:t>292.66</w:t>
            </w:r>
          </w:p>
        </w:tc>
      </w:tr>
      <w:tr w:rsidR="00C735D8" w:rsidRPr="00C87F8B" w:rsidTr="009019C2">
        <w:trPr>
          <w:trHeight w:val="363"/>
        </w:trPr>
        <w:tc>
          <w:tcPr>
            <w:tcW w:w="2587" w:type="dxa"/>
            <w:tcBorders>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Operating Profit</w:t>
            </w:r>
          </w:p>
        </w:tc>
        <w:tc>
          <w:tcPr>
            <w:tcW w:w="2587" w:type="dxa"/>
            <w:tcBorders>
              <w:left w:val="double" w:sz="4" w:space="0" w:color="auto"/>
              <w:right w:val="double" w:sz="4" w:space="0" w:color="auto"/>
            </w:tcBorders>
            <w:shd w:val="clear" w:color="auto" w:fill="auto"/>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191.8</w:t>
            </w:r>
          </w:p>
        </w:tc>
        <w:tc>
          <w:tcPr>
            <w:tcW w:w="2587" w:type="dxa"/>
            <w:tcBorders>
              <w:left w:val="double" w:sz="4" w:space="0" w:color="auto"/>
              <w:right w:val="double" w:sz="4" w:space="0" w:color="auto"/>
            </w:tcBorders>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163.2</w:t>
            </w:r>
          </w:p>
        </w:tc>
        <w:tc>
          <w:tcPr>
            <w:tcW w:w="2587" w:type="dxa"/>
            <w:tcBorders>
              <w:left w:val="double" w:sz="4" w:space="0" w:color="auto"/>
              <w:right w:val="nil"/>
            </w:tcBorders>
            <w:shd w:val="clear" w:color="auto" w:fill="FFFFFF" w:themeFill="background1"/>
            <w:vAlign w:val="center"/>
          </w:tcPr>
          <w:p w:rsidR="00C735D8" w:rsidRPr="00C87F8B" w:rsidRDefault="00C735D8" w:rsidP="009019C2">
            <w:pPr>
              <w:jc w:val="center"/>
              <w:rPr>
                <w:rFonts w:ascii="Arial" w:hAnsi="Arial" w:cs="Arial"/>
                <w:b/>
                <w:sz w:val="22"/>
                <w:szCs w:val="22"/>
                <w:lang w:val="es-ES"/>
              </w:rPr>
            </w:pPr>
            <w:r w:rsidRPr="00C87F8B">
              <w:rPr>
                <w:rFonts w:ascii="Arial" w:hAnsi="Arial"/>
                <w:b/>
                <w:bCs/>
                <w:sz w:val="22"/>
                <w:szCs w:val="22"/>
                <w:lang w:val="es-ES"/>
              </w:rPr>
              <w:t>107.3</w:t>
            </w:r>
          </w:p>
        </w:tc>
      </w:tr>
    </w:tbl>
    <w:p w:rsidR="00C735D8" w:rsidRPr="00C87F8B" w:rsidRDefault="00C735D8" w:rsidP="00C735D8">
      <w:pPr>
        <w:wordWrap/>
        <w:snapToGrid w:val="0"/>
        <w:ind w:leftChars="71" w:left="142" w:rightChars="56" w:right="112"/>
        <w:rPr>
          <w:rFonts w:ascii="Arial" w:hAnsi="Arial" w:cs="Arial"/>
          <w:kern w:val="0"/>
          <w:sz w:val="22"/>
          <w:szCs w:val="22"/>
          <w:lang w:val="es-ES"/>
        </w:rPr>
      </w:pPr>
    </w:p>
    <w:p w:rsidR="00C735D8" w:rsidRPr="00C87F8B" w:rsidRDefault="00C735D8" w:rsidP="00C735D8">
      <w:pPr>
        <w:wordWrap/>
        <w:snapToGrid w:val="0"/>
        <w:ind w:leftChars="71" w:left="142" w:rightChars="56" w:right="112"/>
        <w:rPr>
          <w:rFonts w:ascii="Arial" w:hAnsi="Arial" w:cs="Arial"/>
          <w:b/>
          <w:i/>
          <w:kern w:val="0"/>
          <w:sz w:val="22"/>
          <w:szCs w:val="22"/>
          <w:lang w:val="es-ES"/>
        </w:rPr>
      </w:pPr>
      <w:r w:rsidRPr="00C87F8B">
        <w:rPr>
          <w:rFonts w:ascii="Arial" w:hAnsi="Arial"/>
          <w:b/>
          <w:i/>
          <w:sz w:val="22"/>
          <w:szCs w:val="22"/>
          <w:lang w:val="es-ES"/>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87F8B" w:rsidTr="009019C2">
        <w:trPr>
          <w:trHeight w:val="363"/>
        </w:trPr>
        <w:tc>
          <w:tcPr>
            <w:tcW w:w="2587" w:type="dxa"/>
            <w:tcBorders>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p>
        </w:tc>
        <w:tc>
          <w:tcPr>
            <w:tcW w:w="2587" w:type="dxa"/>
            <w:tcBorders>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Q4 FY 2017</w:t>
            </w:r>
          </w:p>
        </w:tc>
      </w:tr>
      <w:tr w:rsidR="00C735D8" w:rsidRPr="00C87F8B" w:rsidTr="009019C2">
        <w:trPr>
          <w:trHeight w:val="363"/>
        </w:trPr>
        <w:tc>
          <w:tcPr>
            <w:tcW w:w="2587" w:type="dxa"/>
            <w:tcBorders>
              <w:top w:val="double" w:sz="4" w:space="0" w:color="auto"/>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USD / KRW</w:t>
            </w:r>
          </w:p>
        </w:tc>
        <w:tc>
          <w:tcPr>
            <w:tcW w:w="2587" w:type="dxa"/>
            <w:tcBorders>
              <w:top w:val="double" w:sz="4" w:space="0" w:color="auto"/>
              <w:right w:val="double" w:sz="4" w:space="0" w:color="auto"/>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1,157.37</w:t>
            </w:r>
          </w:p>
        </w:tc>
        <w:tc>
          <w:tcPr>
            <w:tcW w:w="2587" w:type="dxa"/>
            <w:tcBorders>
              <w:top w:val="double" w:sz="4" w:space="0" w:color="auto"/>
              <w:left w:val="double" w:sz="4" w:space="0" w:color="auto"/>
              <w:right w:val="double" w:sz="4" w:space="0" w:color="auto"/>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1,132.24</w:t>
            </w:r>
          </w:p>
        </w:tc>
        <w:tc>
          <w:tcPr>
            <w:tcW w:w="2587" w:type="dxa"/>
            <w:tcBorders>
              <w:top w:val="double" w:sz="4" w:space="0" w:color="auto"/>
              <w:left w:val="double" w:sz="4" w:space="0" w:color="auto"/>
              <w:right w:val="nil"/>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1,105.72</w:t>
            </w:r>
          </w:p>
        </w:tc>
      </w:tr>
      <w:tr w:rsidR="00C735D8" w:rsidRPr="00C87F8B" w:rsidTr="009019C2">
        <w:trPr>
          <w:trHeight w:val="363"/>
        </w:trPr>
        <w:tc>
          <w:tcPr>
            <w:tcW w:w="2587" w:type="dxa"/>
            <w:tcBorders>
              <w:right w:val="double" w:sz="4" w:space="0" w:color="auto"/>
            </w:tcBorders>
            <w:vAlign w:val="center"/>
          </w:tcPr>
          <w:p w:rsidR="00C735D8" w:rsidRPr="00C87F8B" w:rsidRDefault="00C735D8" w:rsidP="009019C2">
            <w:pPr>
              <w:wordWrap/>
              <w:snapToGrid w:val="0"/>
              <w:ind w:rightChars="56" w:right="112"/>
              <w:jc w:val="center"/>
              <w:rPr>
                <w:rFonts w:ascii="Arial" w:hAnsi="Arial" w:cs="Arial"/>
                <w:b/>
                <w:kern w:val="0"/>
                <w:sz w:val="22"/>
                <w:szCs w:val="22"/>
                <w:lang w:val="es-ES"/>
              </w:rPr>
            </w:pPr>
            <w:r w:rsidRPr="00C87F8B">
              <w:rPr>
                <w:rFonts w:ascii="Arial" w:hAnsi="Arial"/>
                <w:b/>
                <w:sz w:val="22"/>
                <w:szCs w:val="22"/>
                <w:lang w:val="es-ES"/>
              </w:rPr>
              <w:t>EUR / KRW</w:t>
            </w:r>
          </w:p>
        </w:tc>
        <w:tc>
          <w:tcPr>
            <w:tcW w:w="2587" w:type="dxa"/>
            <w:tcBorders>
              <w:right w:val="double" w:sz="4" w:space="0" w:color="auto"/>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1,247.02</w:t>
            </w:r>
          </w:p>
        </w:tc>
        <w:tc>
          <w:tcPr>
            <w:tcW w:w="2587" w:type="dxa"/>
            <w:tcBorders>
              <w:left w:val="double" w:sz="4" w:space="0" w:color="auto"/>
              <w:right w:val="double" w:sz="4" w:space="0" w:color="auto"/>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1,330.2</w:t>
            </w:r>
          </w:p>
        </w:tc>
        <w:tc>
          <w:tcPr>
            <w:tcW w:w="2587" w:type="dxa"/>
            <w:tcBorders>
              <w:left w:val="double" w:sz="4" w:space="0" w:color="auto"/>
              <w:right w:val="nil"/>
            </w:tcBorders>
          </w:tcPr>
          <w:p w:rsidR="00C735D8" w:rsidRPr="00C87F8B" w:rsidRDefault="00C735D8" w:rsidP="009019C2">
            <w:pPr>
              <w:jc w:val="center"/>
              <w:rPr>
                <w:rFonts w:ascii="Arial" w:hAnsi="Arial" w:cs="Arial"/>
                <w:b/>
                <w:sz w:val="22"/>
                <w:szCs w:val="22"/>
                <w:lang w:val="es-ES"/>
              </w:rPr>
            </w:pPr>
            <w:r w:rsidRPr="00C87F8B">
              <w:rPr>
                <w:rFonts w:ascii="Arial" w:hAnsi="Arial"/>
                <w:b/>
                <w:sz w:val="22"/>
                <w:szCs w:val="22"/>
                <w:lang w:val="es-ES"/>
              </w:rPr>
              <w:t>1,301.81</w:t>
            </w:r>
          </w:p>
        </w:tc>
      </w:tr>
    </w:tbl>
    <w:p w:rsidR="00C735D8" w:rsidRPr="00C87F8B" w:rsidRDefault="00C735D8" w:rsidP="00C735D8">
      <w:pPr>
        <w:widowControl/>
        <w:wordWrap/>
        <w:autoSpaceDE/>
        <w:autoSpaceDN/>
        <w:spacing w:line="207" w:lineRule="atLeast"/>
        <w:ind w:right="112"/>
        <w:jc w:val="left"/>
        <w:rPr>
          <w:rFonts w:ascii="Arial" w:eastAsia="Malgun Gothic" w:hAnsi="Arial" w:cs="Arial"/>
          <w:b/>
          <w:bCs/>
          <w:color w:val="000000" w:themeColor="text1"/>
          <w:kern w:val="0"/>
          <w:sz w:val="22"/>
          <w:szCs w:val="22"/>
          <w:shd w:val="clear" w:color="auto" w:fill="FFFFFF"/>
          <w:lang w:val="es-ES"/>
        </w:rPr>
      </w:pPr>
    </w:p>
    <w:p w:rsidR="00C735D8" w:rsidRPr="00C87F8B" w:rsidRDefault="00C735D8" w:rsidP="00C735D8">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themeFill="background1"/>
          <w:lang w:val="es-ES"/>
        </w:rPr>
      </w:pPr>
      <w:r w:rsidRPr="00C87F8B">
        <w:rPr>
          <w:rFonts w:ascii="Arial" w:hAnsi="Arial"/>
          <w:b/>
          <w:bCs/>
          <w:color w:val="000000" w:themeColor="text1"/>
          <w:sz w:val="22"/>
          <w:szCs w:val="22"/>
          <w:shd w:val="clear" w:color="auto" w:fill="FFFFFF" w:themeFill="background1"/>
          <w:lang w:val="es-ES"/>
        </w:rPr>
        <w:t>2017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C735D8" w:rsidRPr="00C87F8B" w:rsidTr="009019C2">
        <w:trPr>
          <w:trHeight w:val="362"/>
        </w:trPr>
        <w:tc>
          <w:tcPr>
            <w:tcW w:w="2550" w:type="dxa"/>
            <w:shd w:val="clear" w:color="auto" w:fill="7F7F7F"/>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(Unit: Billion KRW)</w:t>
            </w:r>
          </w:p>
        </w:tc>
        <w:tc>
          <w:tcPr>
            <w:tcW w:w="309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FY 2016</w:t>
            </w:r>
          </w:p>
        </w:tc>
        <w:tc>
          <w:tcPr>
            <w:tcW w:w="309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b/>
                <w:bCs/>
                <w:color w:val="FFFFFF"/>
                <w:kern w:val="0"/>
                <w:sz w:val="22"/>
                <w:lang w:val="es-ES"/>
              </w:rPr>
            </w:pPr>
            <w:r w:rsidRPr="00C87F8B">
              <w:rPr>
                <w:rFonts w:ascii="Arial" w:hAnsi="Arial"/>
                <w:b/>
                <w:bCs/>
                <w:color w:val="FFFFFF"/>
                <w:sz w:val="22"/>
                <w:szCs w:val="22"/>
                <w:lang w:val="es-ES"/>
              </w:rPr>
              <w:t>FY 2017</w:t>
            </w:r>
          </w:p>
        </w:tc>
      </w:tr>
      <w:tr w:rsidR="00C735D8" w:rsidRPr="00C87F8B" w:rsidTr="009019C2">
        <w:trPr>
          <w:trHeight w:val="362"/>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Sales</w:t>
            </w:r>
          </w:p>
        </w:tc>
        <w:tc>
          <w:tcPr>
            <w:tcW w:w="3090" w:type="dxa"/>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sz w:val="22"/>
                <w:szCs w:val="22"/>
                <w:lang w:val="es-ES"/>
              </w:rPr>
              <w:t>6,621.8</w:t>
            </w:r>
          </w:p>
        </w:tc>
        <w:tc>
          <w:tcPr>
            <w:tcW w:w="3090" w:type="dxa"/>
            <w:shd w:val="clear" w:color="auto" w:fill="auto"/>
            <w:vAlign w:val="center"/>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6,813.3</w:t>
            </w:r>
          </w:p>
        </w:tc>
      </w:tr>
      <w:tr w:rsidR="00C735D8" w:rsidRPr="00C87F8B" w:rsidTr="009019C2">
        <w:trPr>
          <w:trHeight w:val="362"/>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Operating Profit</w:t>
            </w:r>
          </w:p>
        </w:tc>
        <w:tc>
          <w:tcPr>
            <w:tcW w:w="3090" w:type="dxa"/>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sz w:val="22"/>
                <w:szCs w:val="22"/>
                <w:lang w:val="es-ES"/>
              </w:rPr>
              <w:t>1,103.2</w:t>
            </w:r>
          </w:p>
        </w:tc>
        <w:tc>
          <w:tcPr>
            <w:tcW w:w="3090" w:type="dxa"/>
            <w:shd w:val="clear" w:color="auto" w:fill="auto"/>
            <w:vAlign w:val="center"/>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793.7</w:t>
            </w:r>
          </w:p>
        </w:tc>
      </w:tr>
    </w:tbl>
    <w:p w:rsidR="00C735D8" w:rsidRPr="00C87F8B" w:rsidRDefault="00C735D8" w:rsidP="00C735D8">
      <w:pPr>
        <w:widowControl/>
        <w:wordWrap/>
        <w:autoSpaceDE/>
        <w:autoSpaceDN/>
        <w:jc w:val="left"/>
        <w:rPr>
          <w:rFonts w:ascii="Arial" w:eastAsia="Gulim" w:hAnsi="Arial" w:cs="Arial"/>
          <w:kern w:val="0"/>
          <w:sz w:val="22"/>
          <w:szCs w:val="22"/>
          <w:lang w:val="es-ES"/>
        </w:rPr>
      </w:pPr>
      <w:r w:rsidRPr="00C87F8B">
        <w:rPr>
          <w:rFonts w:ascii="Arial" w:hAnsi="Arial"/>
          <w:color w:val="500050"/>
          <w:sz w:val="22"/>
          <w:szCs w:val="22"/>
          <w:shd w:val="clear" w:color="auto" w:fill="FFFFFF"/>
          <w:lang w:val="es-ES"/>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C735D8" w:rsidRPr="00C87F8B" w:rsidTr="009019C2">
        <w:trPr>
          <w:trHeight w:val="363"/>
        </w:trPr>
        <w:tc>
          <w:tcPr>
            <w:tcW w:w="2550" w:type="dxa"/>
            <w:shd w:val="clear" w:color="auto" w:fill="7F7F7F"/>
            <w:vAlign w:val="center"/>
            <w:hideMark/>
          </w:tcPr>
          <w:p w:rsidR="00C735D8" w:rsidRPr="00C87F8B" w:rsidRDefault="00C735D8" w:rsidP="009019C2">
            <w:pPr>
              <w:widowControl/>
              <w:wordWrap/>
              <w:autoSpaceDE/>
              <w:autoSpaceDN/>
              <w:ind w:right="112"/>
              <w:jc w:val="center"/>
              <w:rPr>
                <w:rFonts w:ascii="Arial" w:eastAsia="Malgun Gothic" w:hAnsi="Arial" w:cs="Arial"/>
                <w:color w:val="222222"/>
                <w:kern w:val="0"/>
                <w:sz w:val="22"/>
                <w:lang w:val="es-ES"/>
              </w:rPr>
            </w:pPr>
            <w:r w:rsidRPr="00C87F8B">
              <w:rPr>
                <w:rFonts w:ascii="Arial" w:hAnsi="Arial"/>
                <w:b/>
                <w:bCs/>
                <w:color w:val="FFFFFF"/>
                <w:sz w:val="22"/>
                <w:szCs w:val="22"/>
                <w:lang w:val="es-ES"/>
              </w:rPr>
              <w:t>(Unit: Million USD)</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Malgun Gothic" w:hAnsi="Arial" w:cs="Arial"/>
                <w:b/>
                <w:bCs/>
                <w:color w:val="FFFFFF"/>
                <w:kern w:val="0"/>
                <w:sz w:val="22"/>
                <w:lang w:val="es-ES"/>
              </w:rPr>
            </w:pPr>
            <w:r w:rsidRPr="00C87F8B">
              <w:rPr>
                <w:rFonts w:ascii="Arial" w:hAnsi="Arial"/>
                <w:b/>
                <w:bCs/>
                <w:color w:val="FFFFFF"/>
                <w:sz w:val="22"/>
                <w:szCs w:val="22"/>
                <w:lang w:val="es-ES"/>
              </w:rPr>
              <w:t>FY 2016</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Malgun Gothic" w:hAnsi="Arial" w:cs="Arial"/>
                <w:b/>
                <w:color w:val="222222"/>
                <w:kern w:val="0"/>
                <w:sz w:val="22"/>
                <w:lang w:val="es-ES"/>
              </w:rPr>
            </w:pPr>
            <w:r w:rsidRPr="00C87F8B">
              <w:rPr>
                <w:rFonts w:ascii="Arial" w:hAnsi="Arial"/>
                <w:b/>
                <w:color w:val="FFFFFF" w:themeColor="background1"/>
                <w:sz w:val="22"/>
                <w:szCs w:val="22"/>
                <w:lang w:val="es-ES"/>
              </w:rPr>
              <w:t>FY 2017</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Malgun Gothic" w:hAnsi="Arial" w:cs="Arial"/>
                <w:color w:val="222222"/>
                <w:kern w:val="0"/>
                <w:sz w:val="22"/>
                <w:lang w:val="es-ES"/>
              </w:rPr>
            </w:pPr>
            <w:r w:rsidRPr="00C87F8B">
              <w:rPr>
                <w:rFonts w:ascii="Arial" w:hAnsi="Arial"/>
                <w:b/>
                <w:bCs/>
                <w:color w:val="222222"/>
                <w:sz w:val="22"/>
                <w:szCs w:val="22"/>
                <w:lang w:val="es-ES"/>
              </w:rPr>
              <w:t>Sales</w:t>
            </w:r>
          </w:p>
        </w:tc>
        <w:tc>
          <w:tcPr>
            <w:tcW w:w="3120" w:type="dxa"/>
          </w:tcPr>
          <w:p w:rsidR="00C735D8" w:rsidRPr="00C87F8B" w:rsidRDefault="00C735D8" w:rsidP="009019C2">
            <w:pPr>
              <w:widowControl/>
              <w:wordWrap/>
              <w:autoSpaceDE/>
              <w:autoSpaceDN/>
              <w:jc w:val="center"/>
              <w:rPr>
                <w:rFonts w:ascii="Arial" w:eastAsia="Malgun Gothic" w:hAnsi="Arial" w:cs="Arial"/>
                <w:b/>
                <w:bCs/>
                <w:color w:val="000000" w:themeColor="text1"/>
                <w:kern w:val="0"/>
                <w:sz w:val="22"/>
                <w:lang w:val="es-ES"/>
              </w:rPr>
            </w:pPr>
            <w:r w:rsidRPr="00C87F8B">
              <w:rPr>
                <w:rFonts w:ascii="Arial" w:hAnsi="Arial"/>
                <w:b/>
                <w:bCs/>
                <w:color w:val="000000" w:themeColor="text1"/>
                <w:sz w:val="22"/>
                <w:szCs w:val="22"/>
                <w:lang w:val="es-ES"/>
              </w:rPr>
              <w:t>5,706</w:t>
            </w:r>
          </w:p>
        </w:tc>
        <w:tc>
          <w:tcPr>
            <w:tcW w:w="3120" w:type="dxa"/>
            <w:shd w:val="clear" w:color="auto" w:fill="auto"/>
          </w:tcPr>
          <w:p w:rsidR="00C735D8" w:rsidRPr="00C87F8B" w:rsidRDefault="00C735D8" w:rsidP="009019C2">
            <w:pPr>
              <w:widowControl/>
              <w:wordWrap/>
              <w:autoSpaceDE/>
              <w:autoSpaceDN/>
              <w:jc w:val="center"/>
              <w:rPr>
                <w:rFonts w:ascii="Arial" w:eastAsia="Malgun Gothic" w:hAnsi="Arial" w:cs="Arial"/>
                <w:b/>
                <w:color w:val="000000" w:themeColor="text1"/>
                <w:kern w:val="0"/>
                <w:sz w:val="22"/>
                <w:lang w:val="es-ES"/>
              </w:rPr>
            </w:pPr>
            <w:r w:rsidRPr="00C87F8B">
              <w:rPr>
                <w:rFonts w:ascii="Arial" w:hAnsi="Arial"/>
                <w:b/>
                <w:color w:val="000000" w:themeColor="text1"/>
                <w:sz w:val="22"/>
                <w:szCs w:val="22"/>
                <w:lang w:val="es-ES"/>
              </w:rPr>
              <w:t>6,024.9</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Malgun Gothic" w:hAnsi="Arial" w:cs="Arial"/>
                <w:color w:val="222222"/>
                <w:kern w:val="0"/>
                <w:sz w:val="22"/>
                <w:lang w:val="es-ES"/>
              </w:rPr>
            </w:pPr>
            <w:r w:rsidRPr="00C87F8B">
              <w:rPr>
                <w:rFonts w:ascii="Arial" w:hAnsi="Arial"/>
                <w:b/>
                <w:bCs/>
                <w:color w:val="222222"/>
                <w:sz w:val="22"/>
                <w:szCs w:val="22"/>
                <w:lang w:val="es-ES"/>
              </w:rPr>
              <w:t>Operating Profit</w:t>
            </w:r>
          </w:p>
        </w:tc>
        <w:tc>
          <w:tcPr>
            <w:tcW w:w="3120" w:type="dxa"/>
          </w:tcPr>
          <w:p w:rsidR="00C735D8" w:rsidRPr="00C87F8B" w:rsidRDefault="00C735D8" w:rsidP="009019C2">
            <w:pPr>
              <w:widowControl/>
              <w:wordWrap/>
              <w:autoSpaceDE/>
              <w:autoSpaceDN/>
              <w:jc w:val="center"/>
              <w:rPr>
                <w:rFonts w:ascii="Arial" w:eastAsia="Malgun Gothic" w:hAnsi="Arial" w:cs="Arial"/>
                <w:b/>
                <w:bCs/>
                <w:color w:val="000000" w:themeColor="text1"/>
                <w:kern w:val="0"/>
                <w:sz w:val="22"/>
                <w:lang w:val="es-ES"/>
              </w:rPr>
            </w:pPr>
            <w:r w:rsidRPr="00C87F8B">
              <w:rPr>
                <w:rFonts w:ascii="Arial" w:hAnsi="Arial"/>
                <w:b/>
                <w:bCs/>
                <w:color w:val="000000" w:themeColor="text1"/>
                <w:sz w:val="22"/>
                <w:szCs w:val="22"/>
                <w:lang w:val="es-ES"/>
              </w:rPr>
              <w:t>950.6</w:t>
            </w:r>
          </w:p>
        </w:tc>
        <w:tc>
          <w:tcPr>
            <w:tcW w:w="3120" w:type="dxa"/>
            <w:shd w:val="clear" w:color="auto" w:fill="auto"/>
          </w:tcPr>
          <w:p w:rsidR="00C735D8" w:rsidRPr="00C87F8B" w:rsidRDefault="00C735D8" w:rsidP="009019C2">
            <w:pPr>
              <w:widowControl/>
              <w:wordWrap/>
              <w:autoSpaceDE/>
              <w:autoSpaceDN/>
              <w:jc w:val="center"/>
              <w:rPr>
                <w:rFonts w:ascii="Arial" w:eastAsia="Malgun Gothic" w:hAnsi="Arial" w:cs="Arial"/>
                <w:b/>
                <w:color w:val="000000" w:themeColor="text1"/>
                <w:kern w:val="0"/>
                <w:sz w:val="22"/>
                <w:lang w:val="es-ES"/>
              </w:rPr>
            </w:pPr>
            <w:r w:rsidRPr="00C87F8B">
              <w:rPr>
                <w:rFonts w:ascii="Arial" w:hAnsi="Arial"/>
                <w:b/>
                <w:color w:val="000000" w:themeColor="text1"/>
                <w:sz w:val="22"/>
                <w:szCs w:val="22"/>
                <w:lang w:val="es-ES"/>
              </w:rPr>
              <w:t>701.8</w:t>
            </w:r>
          </w:p>
        </w:tc>
      </w:tr>
    </w:tbl>
    <w:p w:rsidR="00C735D8" w:rsidRPr="00C87F8B" w:rsidRDefault="00C735D8" w:rsidP="00C735D8">
      <w:pPr>
        <w:widowControl/>
        <w:wordWrap/>
        <w:autoSpaceDE/>
        <w:autoSpaceDN/>
        <w:spacing w:line="207" w:lineRule="atLeast"/>
        <w:ind w:left="142" w:right="112"/>
        <w:jc w:val="left"/>
        <w:rPr>
          <w:rFonts w:ascii="Arial" w:eastAsia="Malgun Gothic" w:hAnsi="Arial" w:cs="Arial"/>
          <w:color w:val="500050"/>
          <w:kern w:val="0"/>
          <w:sz w:val="22"/>
          <w:szCs w:val="22"/>
          <w:shd w:val="clear" w:color="auto" w:fill="FFFFFF"/>
          <w:lang w:val="es-ES"/>
        </w:rPr>
      </w:pPr>
      <w:r w:rsidRPr="00C87F8B">
        <w:rPr>
          <w:rFonts w:ascii="Arial" w:hAnsi="Arial"/>
          <w:color w:val="500050"/>
          <w:sz w:val="22"/>
          <w:szCs w:val="22"/>
          <w:shd w:val="clear" w:color="auto" w:fill="FFFFFF"/>
          <w:lang w:val="es-ES"/>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C735D8" w:rsidRPr="00C87F8B" w:rsidTr="009019C2">
        <w:trPr>
          <w:trHeight w:val="363"/>
        </w:trPr>
        <w:tc>
          <w:tcPr>
            <w:tcW w:w="2550" w:type="dxa"/>
            <w:shd w:val="clear" w:color="auto" w:fill="7F7F7F"/>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(Unit: Million EUR)</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FY 2016</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b/>
                <w:kern w:val="0"/>
                <w:sz w:val="22"/>
                <w:lang w:val="es-ES"/>
              </w:rPr>
            </w:pPr>
            <w:r w:rsidRPr="00C87F8B">
              <w:rPr>
                <w:rFonts w:ascii="Arial" w:hAnsi="Arial"/>
                <w:b/>
                <w:color w:val="FFFFFF" w:themeColor="background1"/>
                <w:sz w:val="22"/>
                <w:szCs w:val="22"/>
                <w:lang w:val="es-ES"/>
              </w:rPr>
              <w:t>FY 2017</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Sales</w:t>
            </w:r>
          </w:p>
        </w:tc>
        <w:tc>
          <w:tcPr>
            <w:tcW w:w="3120" w:type="dxa"/>
            <w:vAlign w:val="center"/>
          </w:tcPr>
          <w:p w:rsidR="00C735D8" w:rsidRPr="00C87F8B" w:rsidRDefault="00C735D8" w:rsidP="009019C2">
            <w:pPr>
              <w:widowControl/>
              <w:wordWrap/>
              <w:autoSpaceDE/>
              <w:autoSpaceDN/>
              <w:jc w:val="center"/>
              <w:rPr>
                <w:rFonts w:ascii="Arial" w:eastAsia="Gulim" w:hAnsi="Arial" w:cs="Arial"/>
                <w:color w:val="000000" w:themeColor="text1"/>
                <w:kern w:val="0"/>
                <w:sz w:val="22"/>
                <w:lang w:val="es-ES"/>
              </w:rPr>
            </w:pPr>
            <w:r w:rsidRPr="00C87F8B">
              <w:rPr>
                <w:rFonts w:ascii="Arial" w:hAnsi="Arial"/>
                <w:b/>
                <w:bCs/>
                <w:color w:val="000000" w:themeColor="text1"/>
                <w:sz w:val="22"/>
                <w:szCs w:val="22"/>
                <w:lang w:val="es-ES"/>
              </w:rPr>
              <w:t>5,160</w:t>
            </w:r>
          </w:p>
        </w:tc>
        <w:tc>
          <w:tcPr>
            <w:tcW w:w="3120" w:type="dxa"/>
            <w:shd w:val="clear" w:color="auto" w:fill="auto"/>
            <w:vAlign w:val="center"/>
          </w:tcPr>
          <w:p w:rsidR="00C735D8" w:rsidRPr="00C87F8B" w:rsidRDefault="00C735D8" w:rsidP="009019C2">
            <w:pPr>
              <w:widowControl/>
              <w:wordWrap/>
              <w:autoSpaceDE/>
              <w:autoSpaceDN/>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5,337.9</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Operating Profit</w:t>
            </w:r>
          </w:p>
        </w:tc>
        <w:tc>
          <w:tcPr>
            <w:tcW w:w="3120" w:type="dxa"/>
            <w:vAlign w:val="center"/>
          </w:tcPr>
          <w:p w:rsidR="00C735D8" w:rsidRPr="00C87F8B" w:rsidRDefault="00C735D8" w:rsidP="009019C2">
            <w:pPr>
              <w:widowControl/>
              <w:wordWrap/>
              <w:autoSpaceDE/>
              <w:autoSpaceDN/>
              <w:jc w:val="center"/>
              <w:rPr>
                <w:rFonts w:ascii="Arial" w:eastAsia="Gulim" w:hAnsi="Arial" w:cs="Arial"/>
                <w:color w:val="000000" w:themeColor="text1"/>
                <w:kern w:val="0"/>
                <w:sz w:val="22"/>
                <w:lang w:val="es-ES"/>
              </w:rPr>
            </w:pPr>
            <w:r w:rsidRPr="00C87F8B">
              <w:rPr>
                <w:rFonts w:ascii="Arial" w:hAnsi="Arial"/>
                <w:b/>
                <w:bCs/>
                <w:color w:val="000000" w:themeColor="text1"/>
                <w:sz w:val="22"/>
                <w:szCs w:val="22"/>
                <w:lang w:val="es-ES"/>
              </w:rPr>
              <w:t>859.7</w:t>
            </w:r>
          </w:p>
        </w:tc>
        <w:tc>
          <w:tcPr>
            <w:tcW w:w="3120" w:type="dxa"/>
            <w:shd w:val="clear" w:color="auto" w:fill="auto"/>
            <w:vAlign w:val="center"/>
          </w:tcPr>
          <w:p w:rsidR="00C735D8" w:rsidRPr="00C87F8B" w:rsidRDefault="00C735D8" w:rsidP="009019C2">
            <w:pPr>
              <w:widowControl/>
              <w:wordWrap/>
              <w:autoSpaceDE/>
              <w:autoSpaceDN/>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621.8</w:t>
            </w:r>
          </w:p>
        </w:tc>
      </w:tr>
    </w:tbl>
    <w:p w:rsidR="00C735D8" w:rsidRPr="00C87F8B" w:rsidRDefault="00C735D8" w:rsidP="00C735D8">
      <w:pPr>
        <w:widowControl/>
        <w:wordWrap/>
        <w:autoSpaceDE/>
        <w:autoSpaceDN/>
        <w:spacing w:line="207" w:lineRule="atLeast"/>
        <w:ind w:left="142" w:right="112"/>
        <w:jc w:val="left"/>
        <w:rPr>
          <w:rFonts w:ascii="Arial" w:eastAsia="Gulim" w:hAnsi="Arial" w:cs="Arial"/>
          <w:kern w:val="0"/>
          <w:sz w:val="22"/>
          <w:szCs w:val="22"/>
          <w:lang w:val="es-ES"/>
        </w:rPr>
      </w:pPr>
      <w:r w:rsidRPr="00C87F8B">
        <w:rPr>
          <w:rFonts w:ascii="Arial" w:hAnsi="Arial"/>
          <w:color w:val="500050"/>
          <w:sz w:val="22"/>
          <w:szCs w:val="22"/>
          <w:shd w:val="clear" w:color="auto" w:fill="FFFFFF"/>
          <w:lang w:val="es-ES"/>
        </w:rPr>
        <w:t> </w:t>
      </w:r>
    </w:p>
    <w:p w:rsidR="00C735D8" w:rsidRPr="00C87F8B" w:rsidRDefault="00C735D8" w:rsidP="00C735D8">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lang w:val="es-ES"/>
        </w:rPr>
      </w:pPr>
      <w:r w:rsidRPr="00C87F8B">
        <w:rPr>
          <w:rFonts w:ascii="Arial" w:hAnsi="Arial"/>
          <w:b/>
          <w:bCs/>
          <w:i/>
          <w:iCs/>
          <w:color w:val="000000" w:themeColor="text1"/>
          <w:sz w:val="22"/>
          <w:szCs w:val="22"/>
          <w:shd w:val="clear" w:color="auto" w:fill="FFFFFF"/>
          <w:lang w:val="es-ES"/>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C735D8" w:rsidRPr="00C87F8B" w:rsidTr="009019C2">
        <w:trPr>
          <w:trHeight w:val="363"/>
        </w:trPr>
        <w:tc>
          <w:tcPr>
            <w:tcW w:w="2550" w:type="dxa"/>
            <w:shd w:val="clear" w:color="auto" w:fill="7F7F7F"/>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 </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color w:val="FFFFFF"/>
                <w:sz w:val="22"/>
                <w:szCs w:val="22"/>
                <w:lang w:val="es-ES"/>
              </w:rPr>
              <w:t>FY 2016</w:t>
            </w:r>
          </w:p>
        </w:tc>
        <w:tc>
          <w:tcPr>
            <w:tcW w:w="3120" w:type="dxa"/>
            <w:shd w:val="clear" w:color="auto" w:fill="7F7F7F"/>
            <w:vAlign w:val="center"/>
          </w:tcPr>
          <w:p w:rsidR="00C735D8" w:rsidRPr="00C87F8B" w:rsidRDefault="00C735D8" w:rsidP="009019C2">
            <w:pPr>
              <w:widowControl/>
              <w:wordWrap/>
              <w:autoSpaceDE/>
              <w:autoSpaceDN/>
              <w:ind w:right="112"/>
              <w:jc w:val="center"/>
              <w:rPr>
                <w:rFonts w:ascii="Arial" w:eastAsia="Gulim" w:hAnsi="Arial" w:cs="Arial"/>
                <w:b/>
                <w:kern w:val="0"/>
                <w:sz w:val="22"/>
                <w:lang w:val="es-ES"/>
              </w:rPr>
            </w:pPr>
            <w:r w:rsidRPr="00C87F8B">
              <w:rPr>
                <w:rFonts w:ascii="Arial" w:hAnsi="Arial"/>
                <w:b/>
                <w:color w:val="FFFFFF" w:themeColor="background1"/>
                <w:sz w:val="22"/>
                <w:szCs w:val="22"/>
                <w:lang w:val="es-ES"/>
              </w:rPr>
              <w:t>FY 2017</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USD / KRW</w:t>
            </w:r>
          </w:p>
        </w:tc>
        <w:tc>
          <w:tcPr>
            <w:tcW w:w="3120" w:type="dxa"/>
            <w:vAlign w:val="center"/>
          </w:tcPr>
          <w:p w:rsidR="00C735D8" w:rsidRPr="00C87F8B" w:rsidRDefault="00C735D8" w:rsidP="009019C2">
            <w:pPr>
              <w:widowControl/>
              <w:wordWrap/>
              <w:autoSpaceDE/>
              <w:autoSpaceDN/>
              <w:ind w:right="160"/>
              <w:jc w:val="center"/>
              <w:rPr>
                <w:rFonts w:ascii="Arial" w:eastAsia="Gulim" w:hAnsi="Arial" w:cs="Arial"/>
                <w:color w:val="000000" w:themeColor="text1"/>
                <w:kern w:val="0"/>
                <w:sz w:val="22"/>
                <w:lang w:val="es-ES"/>
              </w:rPr>
            </w:pPr>
            <w:r w:rsidRPr="00C87F8B">
              <w:rPr>
                <w:rFonts w:ascii="Arial" w:hAnsi="Arial"/>
                <w:b/>
                <w:bCs/>
                <w:color w:val="000000" w:themeColor="text1"/>
                <w:sz w:val="22"/>
                <w:szCs w:val="22"/>
                <w:lang w:val="es-ES"/>
              </w:rPr>
              <w:t>1,160.50</w:t>
            </w:r>
          </w:p>
        </w:tc>
        <w:tc>
          <w:tcPr>
            <w:tcW w:w="3120" w:type="dxa"/>
            <w:shd w:val="clear" w:color="auto" w:fill="auto"/>
            <w:vAlign w:val="center"/>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1,130.84</w:t>
            </w:r>
          </w:p>
        </w:tc>
      </w:tr>
      <w:tr w:rsidR="00C735D8" w:rsidRPr="00C87F8B" w:rsidTr="009019C2">
        <w:trPr>
          <w:trHeight w:val="363"/>
        </w:trPr>
        <w:tc>
          <w:tcPr>
            <w:tcW w:w="2550" w:type="dxa"/>
            <w:shd w:val="clear" w:color="auto" w:fill="auto"/>
            <w:vAlign w:val="center"/>
            <w:hideMark/>
          </w:tcPr>
          <w:p w:rsidR="00C735D8" w:rsidRPr="00C87F8B" w:rsidRDefault="00C735D8" w:rsidP="009019C2">
            <w:pPr>
              <w:widowControl/>
              <w:wordWrap/>
              <w:autoSpaceDE/>
              <w:autoSpaceDN/>
              <w:ind w:right="112"/>
              <w:jc w:val="center"/>
              <w:rPr>
                <w:rFonts w:ascii="Arial" w:eastAsia="Gulim" w:hAnsi="Arial" w:cs="Arial"/>
                <w:kern w:val="0"/>
                <w:sz w:val="22"/>
                <w:lang w:val="es-ES"/>
              </w:rPr>
            </w:pPr>
            <w:r w:rsidRPr="00C87F8B">
              <w:rPr>
                <w:rFonts w:ascii="Arial" w:hAnsi="Arial"/>
                <w:b/>
                <w:bCs/>
                <w:sz w:val="22"/>
                <w:szCs w:val="22"/>
                <w:lang w:val="es-ES"/>
              </w:rPr>
              <w:t>EUR / KRW</w:t>
            </w:r>
          </w:p>
        </w:tc>
        <w:tc>
          <w:tcPr>
            <w:tcW w:w="3120" w:type="dxa"/>
            <w:vAlign w:val="center"/>
          </w:tcPr>
          <w:p w:rsidR="00C735D8" w:rsidRPr="00C87F8B" w:rsidRDefault="00C735D8" w:rsidP="009019C2">
            <w:pPr>
              <w:widowControl/>
              <w:wordWrap/>
              <w:autoSpaceDE/>
              <w:autoSpaceDN/>
              <w:ind w:right="160"/>
              <w:jc w:val="center"/>
              <w:rPr>
                <w:rFonts w:ascii="Arial" w:eastAsia="Gulim" w:hAnsi="Arial" w:cs="Arial"/>
                <w:color w:val="000000" w:themeColor="text1"/>
                <w:kern w:val="0"/>
                <w:sz w:val="22"/>
                <w:lang w:val="es-ES"/>
              </w:rPr>
            </w:pPr>
            <w:r w:rsidRPr="00C87F8B">
              <w:rPr>
                <w:rFonts w:ascii="Arial" w:hAnsi="Arial"/>
                <w:b/>
                <w:bCs/>
                <w:color w:val="000000" w:themeColor="text1"/>
                <w:sz w:val="22"/>
                <w:szCs w:val="22"/>
                <w:lang w:val="es-ES"/>
              </w:rPr>
              <w:t>1,283.30</w:t>
            </w:r>
          </w:p>
        </w:tc>
        <w:tc>
          <w:tcPr>
            <w:tcW w:w="3120" w:type="dxa"/>
            <w:shd w:val="clear" w:color="auto" w:fill="auto"/>
            <w:vAlign w:val="center"/>
          </w:tcPr>
          <w:p w:rsidR="00C735D8" w:rsidRPr="00C87F8B" w:rsidRDefault="00C735D8" w:rsidP="009019C2">
            <w:pPr>
              <w:widowControl/>
              <w:wordWrap/>
              <w:autoSpaceDE/>
              <w:autoSpaceDN/>
              <w:ind w:right="160"/>
              <w:jc w:val="center"/>
              <w:rPr>
                <w:rFonts w:ascii="Arial" w:eastAsia="Gulim" w:hAnsi="Arial" w:cs="Arial"/>
                <w:b/>
                <w:color w:val="000000" w:themeColor="text1"/>
                <w:kern w:val="0"/>
                <w:sz w:val="22"/>
                <w:lang w:val="es-ES"/>
              </w:rPr>
            </w:pPr>
            <w:r w:rsidRPr="00C87F8B">
              <w:rPr>
                <w:rFonts w:ascii="Arial" w:hAnsi="Arial"/>
                <w:b/>
                <w:color w:val="000000" w:themeColor="text1"/>
                <w:sz w:val="22"/>
                <w:szCs w:val="22"/>
                <w:lang w:val="es-ES"/>
              </w:rPr>
              <w:t>1,276.39</w:t>
            </w:r>
          </w:p>
        </w:tc>
      </w:tr>
    </w:tbl>
    <w:p w:rsidR="00C735D8" w:rsidRPr="005979D0" w:rsidRDefault="00C735D8" w:rsidP="00C735D8">
      <w:pPr>
        <w:wordWrap/>
        <w:rPr>
          <w:rFonts w:ascii="Arial" w:hAnsi="Arial" w:cs="Arial"/>
          <w:i/>
          <w:iCs/>
          <w:sz w:val="18"/>
          <w:szCs w:val="18"/>
          <w:lang w:val="en-GB"/>
        </w:rPr>
      </w:pPr>
      <w:r w:rsidRPr="005979D0">
        <w:rPr>
          <w:rFonts w:ascii="Arial" w:hAnsi="Arial"/>
          <w:i/>
          <w:iCs/>
          <w:sz w:val="18"/>
          <w:szCs w:val="18"/>
          <w:lang w:val="en-GB"/>
        </w:rPr>
        <w:t>(NOTE: Average exchange rates for the given annual period, retrieved from Korea Exchange Bank)</w:t>
      </w:r>
    </w:p>
    <w:p w:rsidR="00C735D8" w:rsidRPr="005979D0" w:rsidRDefault="00C735D8" w:rsidP="00C764D7">
      <w:pPr>
        <w:widowControl/>
        <w:wordWrap/>
        <w:autoSpaceDE/>
        <w:autoSpaceDN/>
        <w:spacing w:after="200" w:line="276" w:lineRule="auto"/>
        <w:jc w:val="left"/>
        <w:rPr>
          <w:rFonts w:ascii="Times New Roman" w:eastAsia="Calibri"/>
          <w:b/>
          <w:bCs/>
          <w:kern w:val="0"/>
          <w:sz w:val="21"/>
          <w:szCs w:val="21"/>
          <w:lang w:val="en-GB"/>
        </w:rPr>
      </w:pPr>
    </w:p>
    <w:p w:rsidR="00C764D7" w:rsidRPr="005979D0" w:rsidRDefault="00C735D8" w:rsidP="00C764D7">
      <w:pPr>
        <w:widowControl/>
        <w:wordWrap/>
        <w:autoSpaceDE/>
        <w:autoSpaceDN/>
        <w:spacing w:after="200" w:line="276" w:lineRule="auto"/>
        <w:jc w:val="left"/>
        <w:rPr>
          <w:rFonts w:ascii="Times New Roman" w:eastAsia="Calibri"/>
          <w:b/>
          <w:bCs/>
          <w:kern w:val="0"/>
          <w:sz w:val="21"/>
          <w:szCs w:val="21"/>
          <w:lang w:val="en-GB"/>
        </w:rPr>
      </w:pPr>
      <w:r w:rsidRPr="005979D0">
        <w:rPr>
          <w:lang w:val="en-GB"/>
        </w:rPr>
        <w:br w:type="page"/>
      </w:r>
    </w:p>
    <w:p w:rsidR="0036504F" w:rsidRPr="00272B9D" w:rsidRDefault="0036504F" w:rsidP="0036504F">
      <w:pPr>
        <w:spacing w:line="320" w:lineRule="exact"/>
        <w:jc w:val="left"/>
        <w:outlineLvl w:val="0"/>
        <w:rPr>
          <w:rFonts w:ascii="Times New Roman"/>
          <w:b/>
          <w:color w:val="000000"/>
          <w:sz w:val="21"/>
          <w:bdr w:val="none" w:sz="0" w:space="0" w:color="auto" w:frame="1"/>
          <w:lang w:val="es-ES"/>
        </w:rPr>
      </w:pPr>
      <w:r w:rsidRPr="00272B9D">
        <w:rPr>
          <w:rFonts w:ascii="Times New Roman"/>
          <w:b/>
          <w:color w:val="000000"/>
          <w:sz w:val="21"/>
          <w:bdr w:val="none" w:sz="0" w:space="0" w:color="auto" w:frame="1"/>
          <w:lang w:val="es-ES"/>
        </w:rPr>
        <w:lastRenderedPageBreak/>
        <w:t>Sobre Hankook</w:t>
      </w:r>
    </w:p>
    <w:p w:rsidR="0036504F" w:rsidRPr="00272B9D" w:rsidRDefault="0036504F" w:rsidP="0036504F">
      <w:pPr>
        <w:spacing w:line="320" w:lineRule="exact"/>
        <w:outlineLvl w:val="0"/>
        <w:rPr>
          <w:rFonts w:ascii="Times New Roman"/>
          <w:color w:val="000000"/>
          <w:sz w:val="21"/>
          <w:bdr w:val="none" w:sz="0" w:space="0" w:color="auto" w:frame="1"/>
          <w:lang w:val="es-ES"/>
        </w:rPr>
      </w:pPr>
    </w:p>
    <w:p w:rsidR="0036504F" w:rsidRPr="00272B9D" w:rsidRDefault="0036504F" w:rsidP="0036504F">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36504F" w:rsidRPr="00272B9D" w:rsidRDefault="0036504F" w:rsidP="0036504F">
      <w:pPr>
        <w:spacing w:line="320" w:lineRule="exact"/>
        <w:outlineLvl w:val="0"/>
        <w:rPr>
          <w:rFonts w:ascii="Times New Roman"/>
          <w:color w:val="000000"/>
          <w:sz w:val="21"/>
          <w:bdr w:val="none" w:sz="0" w:space="0" w:color="auto" w:frame="1"/>
          <w:lang w:val="es-ES"/>
        </w:rPr>
      </w:pPr>
    </w:p>
    <w:p w:rsidR="0036504F" w:rsidRPr="00272B9D" w:rsidRDefault="0036504F" w:rsidP="0036504F">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36504F" w:rsidRPr="00272B9D" w:rsidRDefault="0036504F" w:rsidP="0036504F">
      <w:pPr>
        <w:spacing w:line="320" w:lineRule="exact"/>
        <w:outlineLvl w:val="0"/>
        <w:rPr>
          <w:rFonts w:ascii="Times New Roman"/>
          <w:color w:val="000000"/>
          <w:sz w:val="21"/>
          <w:bdr w:val="none" w:sz="0" w:space="0" w:color="auto" w:frame="1"/>
          <w:lang w:val="es-ES"/>
        </w:rPr>
      </w:pPr>
    </w:p>
    <w:p w:rsidR="0036504F" w:rsidRDefault="0036504F" w:rsidP="0036504F">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9316EB" w:rsidRPr="00272B9D" w:rsidRDefault="009316EB" w:rsidP="0036504F">
      <w:pPr>
        <w:spacing w:line="320" w:lineRule="exact"/>
        <w:outlineLvl w:val="0"/>
        <w:rPr>
          <w:rFonts w:ascii="Times New Roman"/>
          <w:color w:val="000000"/>
          <w:sz w:val="21"/>
          <w:bdr w:val="none" w:sz="0" w:space="0" w:color="auto" w:frame="1"/>
          <w:lang w:val="es-ES"/>
        </w:rPr>
      </w:pPr>
    </w:p>
    <w:p w:rsidR="009316EB" w:rsidRDefault="009316EB" w:rsidP="009316EB">
      <w:pPr>
        <w:wordWrap/>
        <w:snapToGrid w:val="0"/>
        <w:spacing w:line="320" w:lineRule="exact"/>
        <w:rPr>
          <w:rFonts w:ascii="Times New Roman"/>
          <w:kern w:val="0"/>
          <w:sz w:val="21"/>
          <w:lang w:val="es-ES"/>
        </w:rPr>
      </w:pPr>
      <w:r>
        <w:rPr>
          <w:rFonts w:ascii="Times New Roman"/>
          <w:kern w:val="0"/>
          <w:sz w:val="21"/>
          <w:lang w:val="es-ES"/>
        </w:rPr>
        <w:t>La Oficina Central Europea del fabricante de neumáticos está situada en Neu-Isenburg, cerca de Frakfurt del Meno en Alemania. Hankook también cuenta con otras filiales en Europa ubicadas en Alemania, España, Francia, Gran Bretaña, Hungría, Italia, Países Bajos, Polonia, República Checa, Rusia, Turquía, Suecia y Ucrania.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9316EB" w:rsidRDefault="009316EB" w:rsidP="009316EB">
      <w:pPr>
        <w:wordWrap/>
        <w:snapToGrid w:val="0"/>
        <w:spacing w:line="320" w:lineRule="exact"/>
        <w:rPr>
          <w:rFonts w:ascii="Times New Roman"/>
          <w:kern w:val="0"/>
          <w:sz w:val="21"/>
          <w:lang w:val="es-ES"/>
        </w:rPr>
      </w:pPr>
    </w:p>
    <w:p w:rsidR="004D6945" w:rsidRPr="009316EB" w:rsidRDefault="0036504F" w:rsidP="0036504F">
      <w:pPr>
        <w:spacing w:line="276" w:lineRule="auto"/>
        <w:rPr>
          <w:rFonts w:ascii="Times Roman" w:hAnsi="Times Roman"/>
          <w:sz w:val="21"/>
          <w:szCs w:val="21"/>
          <w:lang w:val="es-ES"/>
        </w:rPr>
      </w:pPr>
      <w:r w:rsidRPr="00272B9D">
        <w:rPr>
          <w:rFonts w:ascii="Times Roman" w:hAnsi="Times Roman"/>
          <w:bCs/>
          <w:sz w:val="21"/>
          <w:szCs w:val="21"/>
          <w:lang w:val="es-ES"/>
        </w:rPr>
        <w:t xml:space="preserve">Para más información visite nuestra página web </w:t>
      </w:r>
      <w:r w:rsidR="00D8595F">
        <w:fldChar w:fldCharType="begin"/>
      </w:r>
      <w:r w:rsidR="00D8595F" w:rsidRPr="009316EB">
        <w:rPr>
          <w:lang w:val="es-ES"/>
        </w:rPr>
        <w:instrText xml:space="preserve"> HYPERLINK "http://www.hankooktire-mediace</w:instrText>
      </w:r>
      <w:r w:rsidR="00D8595F" w:rsidRPr="009316EB">
        <w:rPr>
          <w:lang w:val="es-ES"/>
        </w:rPr>
        <w:instrText xml:space="preserve">nter.com" </w:instrText>
      </w:r>
      <w:r w:rsidR="00D8595F">
        <w:fldChar w:fldCharType="separate"/>
      </w:r>
      <w:r w:rsidRPr="00272B9D">
        <w:rPr>
          <w:rStyle w:val="Hyperlink"/>
          <w:rFonts w:ascii="Times Roman" w:hAnsi="Times Roman"/>
          <w:bCs/>
          <w:sz w:val="21"/>
          <w:szCs w:val="21"/>
          <w:lang w:val="es-ES"/>
        </w:rPr>
        <w:t>www.hankooktire-mediacenter.com</w:t>
      </w:r>
      <w:r w:rsidR="00D8595F">
        <w:rPr>
          <w:rStyle w:val="Hyperlink"/>
          <w:rFonts w:ascii="Times Roman" w:hAnsi="Times Roman"/>
          <w:bCs/>
          <w:sz w:val="21"/>
          <w:szCs w:val="21"/>
          <w:lang w:val="es-ES"/>
        </w:rPr>
        <w:fldChar w:fldCharType="end"/>
      </w:r>
      <w:r w:rsidRPr="00272B9D">
        <w:rPr>
          <w:rFonts w:ascii="Times Roman" w:hAnsi="Times Roman"/>
          <w:bCs/>
          <w:sz w:val="21"/>
          <w:szCs w:val="21"/>
          <w:lang w:val="es-ES"/>
        </w:rPr>
        <w:t xml:space="preserve">  o </w:t>
      </w:r>
      <w:hyperlink r:id="rId8" w:history="1">
        <w:r w:rsidRPr="00272B9D">
          <w:rPr>
            <w:rStyle w:val="Hyperlink"/>
            <w:rFonts w:ascii="Times Roman" w:hAnsi="Times Roman"/>
            <w:bCs/>
            <w:sz w:val="21"/>
            <w:szCs w:val="21"/>
            <w:lang w:val="es-ES"/>
          </w:rPr>
          <w:t>www.hankooktire.com/es</w:t>
        </w:r>
      </w:hyperlink>
    </w:p>
    <w:p w:rsidR="00C764D7" w:rsidRPr="0036504F" w:rsidRDefault="00C764D7" w:rsidP="00C764D7">
      <w:pPr>
        <w:rPr>
          <w:u w:val="single"/>
          <w:lang w:val="es-E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5979D0" w:rsidTr="00CF0140">
        <w:tc>
          <w:tcPr>
            <w:tcW w:w="9437" w:type="dxa"/>
            <w:gridSpan w:val="4"/>
            <w:shd w:val="clear" w:color="auto" w:fill="F2F2F2"/>
          </w:tcPr>
          <w:p w:rsidR="00C764D7" w:rsidRPr="005979D0" w:rsidRDefault="00C764D7" w:rsidP="00CF0140">
            <w:pPr>
              <w:wordWrap/>
              <w:spacing w:line="320" w:lineRule="exact"/>
              <w:rPr>
                <w:rFonts w:ascii="Times New Roman"/>
                <w:b/>
                <w:bCs/>
                <w:sz w:val="21"/>
                <w:szCs w:val="21"/>
                <w:u w:val="single"/>
                <w:lang w:val="en-GB"/>
              </w:rPr>
            </w:pPr>
            <w:proofErr w:type="spellStart"/>
            <w:r w:rsidRPr="005979D0">
              <w:rPr>
                <w:rFonts w:ascii="Times New Roman"/>
                <w:b/>
                <w:sz w:val="21"/>
                <w:u w:val="single"/>
                <w:lang w:val="en-GB"/>
              </w:rPr>
              <w:t>Contact</w:t>
            </w:r>
            <w:r w:rsidR="0036504F">
              <w:rPr>
                <w:rFonts w:ascii="Times New Roman"/>
                <w:b/>
                <w:sz w:val="21"/>
                <w:u w:val="single"/>
                <w:lang w:val="en-GB"/>
              </w:rPr>
              <w:t>o</w:t>
            </w:r>
            <w:proofErr w:type="spellEnd"/>
          </w:p>
          <w:p w:rsidR="00C764D7" w:rsidRPr="005979D0" w:rsidRDefault="00C764D7" w:rsidP="00CF0140">
            <w:pPr>
              <w:wordWrap/>
              <w:spacing w:line="320" w:lineRule="exact"/>
              <w:rPr>
                <w:rFonts w:ascii="Times New Roman"/>
                <w:sz w:val="16"/>
                <w:szCs w:val="16"/>
                <w:lang w:val="en-GB"/>
              </w:rPr>
            </w:pPr>
            <w:r w:rsidRPr="005979D0">
              <w:rPr>
                <w:rFonts w:ascii="Times New Roman"/>
                <w:b/>
                <w:sz w:val="16"/>
                <w:lang w:val="en-GB"/>
              </w:rPr>
              <w:t xml:space="preserve">Hankook Tire Europe GmbH | </w:t>
            </w:r>
            <w:r w:rsidRPr="005979D0">
              <w:rPr>
                <w:rFonts w:ascii="Times New Roman"/>
                <w:sz w:val="16"/>
                <w:lang w:val="en-GB"/>
              </w:rPr>
              <w:t>Corporate Communications Europe/CIS</w:t>
            </w:r>
            <w:r w:rsidRPr="005979D0">
              <w:rPr>
                <w:rFonts w:ascii="Times New Roman"/>
                <w:b/>
                <w:sz w:val="16"/>
                <w:lang w:val="en-GB"/>
              </w:rPr>
              <w:t xml:space="preserve"> | </w:t>
            </w:r>
            <w:proofErr w:type="spellStart"/>
            <w:r w:rsidRPr="005979D0">
              <w:rPr>
                <w:rFonts w:ascii="Times New Roman"/>
                <w:sz w:val="16"/>
                <w:lang w:val="en-GB"/>
              </w:rPr>
              <w:t>Siemensstr</w:t>
            </w:r>
            <w:proofErr w:type="spellEnd"/>
            <w:r w:rsidRPr="005979D0">
              <w:rPr>
                <w:rFonts w:ascii="Times New Roman"/>
                <w:sz w:val="16"/>
                <w:lang w:val="en-GB"/>
              </w:rPr>
              <w:t>. 14, 63263 Neu-</w:t>
            </w:r>
            <w:proofErr w:type="spellStart"/>
            <w:r w:rsidRPr="005979D0">
              <w:rPr>
                <w:rFonts w:ascii="Times New Roman"/>
                <w:sz w:val="16"/>
                <w:lang w:val="en-GB"/>
              </w:rPr>
              <w:t>Isenburg</w:t>
            </w:r>
            <w:proofErr w:type="spellEnd"/>
            <w:r w:rsidRPr="005979D0">
              <w:rPr>
                <w:rFonts w:ascii="Times New Roman"/>
                <w:sz w:val="16"/>
                <w:lang w:val="en-GB"/>
              </w:rPr>
              <w:t xml:space="preserve"> | Germany</w:t>
            </w:r>
          </w:p>
          <w:p w:rsidR="00C764D7" w:rsidRPr="005979D0" w:rsidRDefault="00C764D7" w:rsidP="00CF0140">
            <w:pPr>
              <w:wordWrap/>
              <w:spacing w:line="200" w:lineRule="exact"/>
              <w:rPr>
                <w:rFonts w:ascii="Times New Roman"/>
                <w:sz w:val="21"/>
                <w:szCs w:val="21"/>
                <w:u w:val="single"/>
                <w:lang w:val="en-GB"/>
              </w:rPr>
            </w:pPr>
          </w:p>
        </w:tc>
      </w:tr>
      <w:tr w:rsidR="00C735D8" w:rsidRPr="00C87F8B" w:rsidTr="00CF0140">
        <w:tc>
          <w:tcPr>
            <w:tcW w:w="2359" w:type="dxa"/>
            <w:shd w:val="clear" w:color="auto" w:fill="F2F2F2"/>
          </w:tcPr>
          <w:p w:rsidR="00C735D8" w:rsidRPr="00C87F8B" w:rsidRDefault="00C735D8" w:rsidP="00C735D8">
            <w:pPr>
              <w:wordWrap/>
              <w:spacing w:line="200" w:lineRule="exact"/>
              <w:rPr>
                <w:rFonts w:ascii="Times New Roman"/>
                <w:b/>
                <w:snapToGrid w:val="0"/>
                <w:sz w:val="16"/>
                <w:szCs w:val="16"/>
                <w:lang w:val="es-ES"/>
              </w:rPr>
            </w:pPr>
            <w:r w:rsidRPr="00C87F8B">
              <w:rPr>
                <w:rFonts w:ascii="Times New Roman"/>
                <w:b/>
                <w:snapToGrid w:val="0"/>
                <w:sz w:val="16"/>
                <w:lang w:val="es-ES"/>
              </w:rPr>
              <w:t>Felix Kinzer</w:t>
            </w:r>
          </w:p>
          <w:p w:rsidR="00C735D8" w:rsidRPr="00C87F8B" w:rsidRDefault="00C735D8" w:rsidP="00C735D8">
            <w:pPr>
              <w:wordWrap/>
              <w:spacing w:line="200" w:lineRule="exact"/>
              <w:rPr>
                <w:rFonts w:ascii="Times New Roman"/>
                <w:snapToGrid w:val="0"/>
                <w:sz w:val="16"/>
                <w:szCs w:val="16"/>
                <w:lang w:val="es-ES"/>
              </w:rPr>
            </w:pPr>
            <w:r w:rsidRPr="00C87F8B">
              <w:rPr>
                <w:rFonts w:ascii="Times New Roman"/>
                <w:snapToGrid w:val="0"/>
                <w:sz w:val="16"/>
                <w:lang w:val="es-ES"/>
              </w:rPr>
              <w:t>Director</w:t>
            </w:r>
          </w:p>
          <w:p w:rsidR="00C735D8" w:rsidRPr="00C87F8B" w:rsidRDefault="00C735D8" w:rsidP="00C735D8">
            <w:pPr>
              <w:wordWrap/>
              <w:spacing w:line="200" w:lineRule="exact"/>
              <w:rPr>
                <w:rFonts w:ascii="Times New Roman"/>
                <w:snapToGrid w:val="0"/>
                <w:sz w:val="16"/>
                <w:szCs w:val="16"/>
                <w:lang w:val="es-ES"/>
              </w:rPr>
            </w:pPr>
            <w:r w:rsidRPr="00C87F8B">
              <w:rPr>
                <w:rFonts w:ascii="Times New Roman"/>
                <w:snapToGrid w:val="0"/>
                <w:sz w:val="16"/>
                <w:lang w:val="es-ES"/>
              </w:rPr>
              <w:t>Tel.: +49 (0) 61 02 8149 – 170</w:t>
            </w:r>
          </w:p>
          <w:p w:rsidR="00C735D8" w:rsidRPr="00C87F8B" w:rsidRDefault="00D8595F" w:rsidP="00C735D8">
            <w:pPr>
              <w:rPr>
                <w:rFonts w:ascii="Times New Roman"/>
                <w:snapToGrid w:val="0"/>
                <w:sz w:val="16"/>
                <w:szCs w:val="16"/>
                <w:lang w:val="es-ES"/>
              </w:rPr>
            </w:pPr>
            <w:hyperlink r:id="rId9">
              <w:r w:rsidR="00D179F9" w:rsidRPr="00C87F8B">
                <w:rPr>
                  <w:rFonts w:ascii="Times New Roman"/>
                  <w:snapToGrid w:val="0"/>
                  <w:color w:val="0000FF"/>
                  <w:sz w:val="16"/>
                  <w:u w:val="single"/>
                  <w:lang w:val="es-ES"/>
                </w:rPr>
                <w:t>f.kinzer@hankookreifen.de</w:t>
              </w:r>
            </w:hyperlink>
          </w:p>
          <w:p w:rsidR="00C735D8" w:rsidRPr="00C87F8B" w:rsidRDefault="00C735D8" w:rsidP="00C735D8">
            <w:pPr>
              <w:wordWrap/>
              <w:spacing w:line="200" w:lineRule="exact"/>
              <w:rPr>
                <w:rFonts w:ascii="Times New Roman"/>
                <w:snapToGrid w:val="0"/>
                <w:sz w:val="16"/>
                <w:szCs w:val="16"/>
                <w:lang w:val="es-ES"/>
              </w:rPr>
            </w:pPr>
          </w:p>
        </w:tc>
        <w:tc>
          <w:tcPr>
            <w:tcW w:w="2359" w:type="dxa"/>
            <w:shd w:val="clear" w:color="auto" w:fill="F2F2F2"/>
          </w:tcPr>
          <w:p w:rsidR="00C735D8" w:rsidRPr="00C87F8B" w:rsidRDefault="00C735D8" w:rsidP="00C735D8">
            <w:pPr>
              <w:wordWrap/>
              <w:spacing w:line="200" w:lineRule="exact"/>
              <w:rPr>
                <w:rFonts w:ascii="Times New Roman" w:eastAsia="Times New Roman"/>
                <w:b/>
                <w:color w:val="00000A"/>
                <w:kern w:val="0"/>
                <w:sz w:val="16"/>
                <w:szCs w:val="16"/>
                <w:lang w:val="es-ES"/>
              </w:rPr>
            </w:pPr>
            <w:r w:rsidRPr="00C87F8B">
              <w:rPr>
                <w:rFonts w:ascii="Times New Roman"/>
                <w:b/>
                <w:color w:val="00000A"/>
                <w:sz w:val="16"/>
                <w:szCs w:val="16"/>
                <w:lang w:val="es-ES"/>
              </w:rPr>
              <w:t xml:space="preserve">Sabine </w:t>
            </w:r>
            <w:r w:rsidRPr="00C87F8B">
              <w:rPr>
                <w:rFonts w:ascii="Times New Roman"/>
                <w:b/>
                <w:snapToGrid w:val="0"/>
                <w:sz w:val="16"/>
                <w:lang w:val="es-ES"/>
              </w:rPr>
              <w:t>Riedel</w:t>
            </w:r>
          </w:p>
          <w:p w:rsidR="00C735D8" w:rsidRPr="00C87F8B" w:rsidRDefault="00C735D8" w:rsidP="00C735D8">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es-ES"/>
              </w:rPr>
            </w:pPr>
            <w:r w:rsidRPr="00C87F8B">
              <w:rPr>
                <w:rFonts w:ascii="Times New Roman"/>
                <w:color w:val="00000A"/>
                <w:sz w:val="16"/>
                <w:szCs w:val="16"/>
                <w:lang w:val="es-ES"/>
              </w:rPr>
              <w:t>PR-Manager</w:t>
            </w:r>
          </w:p>
          <w:p w:rsidR="00C735D8" w:rsidRPr="00C87F8B" w:rsidRDefault="00C735D8" w:rsidP="00C735D8">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es-ES"/>
              </w:rPr>
            </w:pPr>
            <w:r w:rsidRPr="00C87F8B">
              <w:rPr>
                <w:rFonts w:ascii="Times New Roman"/>
                <w:color w:val="00000A"/>
                <w:sz w:val="16"/>
                <w:szCs w:val="16"/>
                <w:lang w:val="es-ES"/>
              </w:rPr>
              <w:t xml:space="preserve">Tel.: +49 (0) 6102 8149 </w:t>
            </w:r>
            <w:r w:rsidRPr="00C87F8B">
              <w:rPr>
                <w:rFonts w:ascii="Times New Roman"/>
                <w:snapToGrid w:val="0"/>
                <w:color w:val="00000A"/>
                <w:sz w:val="16"/>
                <w:szCs w:val="16"/>
                <w:lang w:val="es-ES"/>
              </w:rPr>
              <w:t>– 174</w:t>
            </w:r>
          </w:p>
          <w:p w:rsidR="00C735D8" w:rsidRPr="00C87F8B" w:rsidRDefault="00D8595F" w:rsidP="00C735D8">
            <w:pPr>
              <w:suppressAutoHyphens/>
              <w:wordWrap/>
              <w:autoSpaceDE/>
              <w:autoSpaceDN/>
              <w:spacing w:line="220" w:lineRule="exact"/>
              <w:rPr>
                <w:rFonts w:ascii="Times New Roman" w:eastAsia="Times New Roman"/>
                <w:color w:val="00000A"/>
                <w:kern w:val="0"/>
                <w:sz w:val="21"/>
                <w:szCs w:val="21"/>
                <w:lang w:val="es-ES"/>
              </w:rPr>
            </w:pPr>
            <w:hyperlink r:id="rId10" w:history="1">
              <w:r w:rsidR="00D179F9" w:rsidRPr="00C87F8B">
                <w:rPr>
                  <w:rFonts w:ascii="Times New Roman"/>
                  <w:color w:val="0000FF"/>
                  <w:sz w:val="16"/>
                  <w:szCs w:val="16"/>
                  <w:u w:val="single"/>
                  <w:lang w:val="es-ES"/>
                </w:rPr>
                <w:t>s.riedel@hankookreifen.de</w:t>
              </w:r>
            </w:hyperlink>
            <w:r w:rsidR="00D179F9" w:rsidRPr="00C87F8B">
              <w:rPr>
                <w:rFonts w:ascii="Times New Roman"/>
                <w:color w:val="00000A"/>
                <w:sz w:val="16"/>
                <w:szCs w:val="16"/>
                <w:lang w:val="es-ES"/>
              </w:rPr>
              <w:t xml:space="preserve"> </w:t>
            </w:r>
          </w:p>
        </w:tc>
        <w:tc>
          <w:tcPr>
            <w:tcW w:w="2359" w:type="dxa"/>
            <w:shd w:val="clear" w:color="auto" w:fill="F2F2F2"/>
          </w:tcPr>
          <w:p w:rsidR="00C735D8" w:rsidRPr="00C87F8B" w:rsidRDefault="00C735D8" w:rsidP="00C735D8">
            <w:pPr>
              <w:wordWrap/>
              <w:spacing w:line="200" w:lineRule="exact"/>
              <w:rPr>
                <w:rFonts w:ascii="Times New Roman"/>
                <w:sz w:val="21"/>
                <w:szCs w:val="21"/>
                <w:lang w:val="es-ES"/>
              </w:rPr>
            </w:pPr>
          </w:p>
        </w:tc>
        <w:tc>
          <w:tcPr>
            <w:tcW w:w="2360" w:type="dxa"/>
            <w:shd w:val="clear" w:color="auto" w:fill="F2F2F2"/>
          </w:tcPr>
          <w:p w:rsidR="00C735D8" w:rsidRPr="00C87F8B" w:rsidRDefault="00C735D8" w:rsidP="00C735D8">
            <w:pPr>
              <w:wordWrap/>
              <w:spacing w:line="200" w:lineRule="exact"/>
              <w:rPr>
                <w:rFonts w:ascii="Times New Roman"/>
                <w:sz w:val="21"/>
                <w:szCs w:val="21"/>
                <w:lang w:val="es-ES"/>
              </w:rPr>
            </w:pPr>
          </w:p>
        </w:tc>
      </w:tr>
    </w:tbl>
    <w:p w:rsidR="00C764D7" w:rsidRPr="00C87F8B" w:rsidRDefault="00C764D7" w:rsidP="00C764D7">
      <w:pPr>
        <w:tabs>
          <w:tab w:val="left" w:pos="142"/>
        </w:tabs>
        <w:wordWrap/>
        <w:rPr>
          <w:rFonts w:ascii="Times New Roman" w:eastAsia="Times New Roman"/>
          <w:kern w:val="0"/>
          <w:sz w:val="21"/>
          <w:szCs w:val="21"/>
          <w:lang w:val="es-ES"/>
        </w:rPr>
      </w:pPr>
    </w:p>
    <w:p w:rsidR="0036504F" w:rsidRPr="00272B9D" w:rsidRDefault="0036504F" w:rsidP="0036504F">
      <w:pPr>
        <w:spacing w:line="276" w:lineRule="auto"/>
        <w:ind w:rightChars="56" w:right="112"/>
        <w:rPr>
          <w:rFonts w:ascii="Times Roman" w:hAnsi="Times Roman"/>
          <w:b/>
          <w:snapToGrid w:val="0"/>
          <w:sz w:val="16"/>
          <w:lang w:val="es-ES"/>
        </w:rPr>
      </w:pPr>
      <w:r>
        <w:rPr>
          <w:b/>
          <w:snapToGrid w:val="0"/>
          <w:sz w:val="16"/>
          <w:lang w:val="es-ES"/>
        </w:rPr>
        <w:t xml:space="preserve">  </w:t>
      </w:r>
      <w:r w:rsidRPr="00272B9D">
        <w:rPr>
          <w:rFonts w:ascii="Times Roman" w:hAnsi="Times Roman"/>
          <w:b/>
          <w:snapToGrid w:val="0"/>
          <w:sz w:val="16"/>
          <w:lang w:val="es-ES"/>
        </w:rPr>
        <w:t>Juan Carlos  Moyano</w:t>
      </w:r>
    </w:p>
    <w:p w:rsidR="0036504F" w:rsidRPr="00272B9D" w:rsidRDefault="0036504F" w:rsidP="0036504F">
      <w:pPr>
        <w:spacing w:line="276" w:lineRule="auto"/>
        <w:ind w:rightChars="56" w:right="112"/>
        <w:rPr>
          <w:rFonts w:ascii="Times Roman" w:hAnsi="Times Roman"/>
          <w:snapToGrid w:val="0"/>
          <w:sz w:val="16"/>
          <w:lang w:val="es-ES"/>
        </w:rPr>
      </w:pPr>
      <w:r w:rsidRPr="00272B9D">
        <w:rPr>
          <w:rFonts w:ascii="Times Roman" w:hAnsi="Times Roman"/>
          <w:snapToGrid w:val="0"/>
          <w:sz w:val="16"/>
        </w:rPr>
        <w:t xml:space="preserve">  </w:t>
      </w:r>
      <w:r>
        <w:rPr>
          <w:rFonts w:ascii="Times Roman" w:hAnsi="Times Roman"/>
          <w:snapToGrid w:val="0"/>
          <w:sz w:val="16"/>
        </w:rPr>
        <w:t xml:space="preserve"> </w:t>
      </w:r>
      <w:r w:rsidRPr="00272B9D">
        <w:rPr>
          <w:rFonts w:ascii="Times Roman" w:hAnsi="Times Roman"/>
          <w:snapToGrid w:val="0"/>
          <w:sz w:val="16"/>
        </w:rPr>
        <w:t>PR &amp; Marketing</w:t>
      </w:r>
    </w:p>
    <w:p w:rsidR="0036504F" w:rsidRPr="00272B9D" w:rsidRDefault="0036504F" w:rsidP="0036504F">
      <w:pPr>
        <w:spacing w:line="276" w:lineRule="auto"/>
        <w:ind w:rightChars="56" w:right="112"/>
        <w:rPr>
          <w:rFonts w:ascii="Times Roman" w:hAnsi="Times Roman"/>
          <w:snapToGrid w:val="0"/>
          <w:sz w:val="16"/>
        </w:rPr>
      </w:pPr>
      <w:r w:rsidRPr="00272B9D">
        <w:rPr>
          <w:rFonts w:ascii="Times Roman" w:hAnsi="Times Roman"/>
          <w:snapToGrid w:val="0"/>
          <w:sz w:val="16"/>
        </w:rPr>
        <w:t xml:space="preserve"> </w:t>
      </w:r>
      <w:r>
        <w:rPr>
          <w:rFonts w:ascii="Times Roman" w:hAnsi="Times Roman"/>
          <w:snapToGrid w:val="0"/>
          <w:sz w:val="16"/>
        </w:rPr>
        <w:t xml:space="preserve"> </w:t>
      </w:r>
      <w:r w:rsidRPr="00272B9D">
        <w:rPr>
          <w:rFonts w:ascii="Times Roman" w:hAnsi="Times Roman"/>
          <w:snapToGrid w:val="0"/>
          <w:sz w:val="16"/>
        </w:rPr>
        <w:t xml:space="preserve"> Hankook </w:t>
      </w:r>
      <w:proofErr w:type="spellStart"/>
      <w:r w:rsidRPr="00272B9D">
        <w:rPr>
          <w:rFonts w:ascii="Times Roman" w:hAnsi="Times Roman"/>
          <w:snapToGrid w:val="0"/>
          <w:sz w:val="16"/>
        </w:rPr>
        <w:t>España</w:t>
      </w:r>
      <w:proofErr w:type="spellEnd"/>
    </w:p>
    <w:p w:rsidR="0036504F" w:rsidRPr="00272B9D" w:rsidRDefault="0036504F" w:rsidP="0036504F">
      <w:pPr>
        <w:spacing w:line="276" w:lineRule="auto"/>
        <w:ind w:rightChars="56" w:right="112"/>
        <w:rPr>
          <w:rFonts w:ascii="Times Roman" w:hAnsi="Times Roman"/>
          <w:snapToGrid w:val="0"/>
          <w:sz w:val="16"/>
        </w:rPr>
      </w:pPr>
      <w:r w:rsidRPr="00272B9D">
        <w:rPr>
          <w:rFonts w:ascii="Times Roman" w:hAnsi="Times Roman"/>
          <w:snapToGrid w:val="0"/>
          <w:sz w:val="16"/>
        </w:rPr>
        <w:t xml:space="preserve"> </w:t>
      </w:r>
      <w:r>
        <w:rPr>
          <w:rFonts w:ascii="Times Roman" w:hAnsi="Times Roman"/>
          <w:snapToGrid w:val="0"/>
          <w:sz w:val="16"/>
        </w:rPr>
        <w:t xml:space="preserve"> </w:t>
      </w:r>
      <w:r w:rsidRPr="00272B9D">
        <w:rPr>
          <w:rFonts w:ascii="Times Roman" w:hAnsi="Times Roman"/>
          <w:snapToGrid w:val="0"/>
          <w:sz w:val="16"/>
        </w:rPr>
        <w:t xml:space="preserve"> Tel.: +34 628 157 178</w:t>
      </w:r>
    </w:p>
    <w:p w:rsidR="00C764D7" w:rsidRPr="00C87F8B" w:rsidRDefault="0036504F" w:rsidP="0036504F">
      <w:pPr>
        <w:rPr>
          <w:lang w:val="es-ES"/>
        </w:rPr>
      </w:pPr>
      <w:r w:rsidRPr="00272B9D">
        <w:rPr>
          <w:rFonts w:ascii="Times Roman" w:hAnsi="Times Roman"/>
        </w:rPr>
        <w:t xml:space="preserve"> </w:t>
      </w:r>
      <w:r>
        <w:rPr>
          <w:rFonts w:ascii="Times Roman" w:hAnsi="Times Roman"/>
        </w:rPr>
        <w:t xml:space="preserve"> </w:t>
      </w:r>
      <w:r w:rsidRPr="00272B9D">
        <w:rPr>
          <w:rFonts w:ascii="Times Roman" w:hAnsi="Times Roman"/>
        </w:rPr>
        <w:t xml:space="preserve"> </w:t>
      </w:r>
      <w:hyperlink r:id="rId11" w:history="1">
        <w:r w:rsidRPr="00272B9D">
          <w:rPr>
            <w:rStyle w:val="Hyperlink"/>
            <w:rFonts w:ascii="Times Roman" w:hAnsi="Times Roman"/>
            <w:snapToGrid w:val="0"/>
            <w:sz w:val="16"/>
            <w:lang w:val="es-ES"/>
          </w:rPr>
          <w:t>juan.moyano@hankook.es</w:t>
        </w:r>
      </w:hyperlink>
    </w:p>
    <w:p w:rsidR="003A269D" w:rsidRPr="00C87F8B" w:rsidRDefault="003A269D">
      <w:pPr>
        <w:rPr>
          <w:lang w:val="es-ES"/>
        </w:rPr>
      </w:pPr>
    </w:p>
    <w:sectPr w:rsidR="003A269D" w:rsidRPr="00C87F8B" w:rsidSect="0036504F">
      <w:headerReference w:type="default" r:id="rId12"/>
      <w:pgSz w:w="11906" w:h="16838"/>
      <w:pgMar w:top="2126"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95F" w:rsidRDefault="00D8595F">
      <w:r>
        <w:separator/>
      </w:r>
    </w:p>
  </w:endnote>
  <w:endnote w:type="continuationSeparator" w:id="0">
    <w:p w:rsidR="00D8595F" w:rsidRDefault="00D8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95F" w:rsidRDefault="00D8595F">
      <w:r>
        <w:separator/>
      </w:r>
    </w:p>
  </w:footnote>
  <w:footnote w:type="continuationSeparator" w:id="0">
    <w:p w:rsidR="00D8595F" w:rsidRDefault="00D8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36504F">
    <w:pPr>
      <w:pStyle w:val="Kopfzeile"/>
    </w:pPr>
    <w:r>
      <w:rPr>
        <w:noProof/>
        <w:lang w:val="es-ES" w:eastAsia="es-ES" w:bidi="ar-SA"/>
      </w:rPr>
      <w:drawing>
        <wp:inline distT="0" distB="0" distL="0" distR="0">
          <wp:extent cx="5895975" cy="857250"/>
          <wp:effectExtent l="19050" t="0" r="9525"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589597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4D7"/>
    <w:rsid w:val="0001373F"/>
    <w:rsid w:val="00021562"/>
    <w:rsid w:val="00046C51"/>
    <w:rsid w:val="000567B4"/>
    <w:rsid w:val="00056AD3"/>
    <w:rsid w:val="000A333A"/>
    <w:rsid w:val="000D3FFA"/>
    <w:rsid w:val="000E582A"/>
    <w:rsid w:val="00114E67"/>
    <w:rsid w:val="00122EE6"/>
    <w:rsid w:val="001352D8"/>
    <w:rsid w:val="001A485C"/>
    <w:rsid w:val="001C16AF"/>
    <w:rsid w:val="001E7C2A"/>
    <w:rsid w:val="00227D48"/>
    <w:rsid w:val="0025619D"/>
    <w:rsid w:val="00276A82"/>
    <w:rsid w:val="00286DAF"/>
    <w:rsid w:val="002D14B7"/>
    <w:rsid w:val="00317CCA"/>
    <w:rsid w:val="003262D5"/>
    <w:rsid w:val="0033517C"/>
    <w:rsid w:val="00353314"/>
    <w:rsid w:val="00363D4A"/>
    <w:rsid w:val="0036504F"/>
    <w:rsid w:val="00390C17"/>
    <w:rsid w:val="003A269D"/>
    <w:rsid w:val="003B025B"/>
    <w:rsid w:val="00407C1A"/>
    <w:rsid w:val="004168A6"/>
    <w:rsid w:val="00465171"/>
    <w:rsid w:val="0049792E"/>
    <w:rsid w:val="004D5D87"/>
    <w:rsid w:val="004D6945"/>
    <w:rsid w:val="00501339"/>
    <w:rsid w:val="00527A37"/>
    <w:rsid w:val="00533116"/>
    <w:rsid w:val="00544847"/>
    <w:rsid w:val="005465CD"/>
    <w:rsid w:val="0054678E"/>
    <w:rsid w:val="0055710D"/>
    <w:rsid w:val="00585057"/>
    <w:rsid w:val="005979D0"/>
    <w:rsid w:val="005D6C81"/>
    <w:rsid w:val="00632732"/>
    <w:rsid w:val="00647AA1"/>
    <w:rsid w:val="006D5BF5"/>
    <w:rsid w:val="006F1CFD"/>
    <w:rsid w:val="00705B5E"/>
    <w:rsid w:val="0073564C"/>
    <w:rsid w:val="008158BA"/>
    <w:rsid w:val="00841036"/>
    <w:rsid w:val="00863AB8"/>
    <w:rsid w:val="00873F2C"/>
    <w:rsid w:val="00896583"/>
    <w:rsid w:val="008C590C"/>
    <w:rsid w:val="00901501"/>
    <w:rsid w:val="009316EB"/>
    <w:rsid w:val="009E0A77"/>
    <w:rsid w:val="009E38DE"/>
    <w:rsid w:val="009F46D2"/>
    <w:rsid w:val="00A30768"/>
    <w:rsid w:val="00A50028"/>
    <w:rsid w:val="00AC27A2"/>
    <w:rsid w:val="00AC371D"/>
    <w:rsid w:val="00AD6366"/>
    <w:rsid w:val="00AF0372"/>
    <w:rsid w:val="00AF201C"/>
    <w:rsid w:val="00B23750"/>
    <w:rsid w:val="00B23F74"/>
    <w:rsid w:val="00B519F1"/>
    <w:rsid w:val="00B71628"/>
    <w:rsid w:val="00B749EB"/>
    <w:rsid w:val="00B776BA"/>
    <w:rsid w:val="00B835E6"/>
    <w:rsid w:val="00BA5C82"/>
    <w:rsid w:val="00BB180B"/>
    <w:rsid w:val="00BC422B"/>
    <w:rsid w:val="00C01E3D"/>
    <w:rsid w:val="00C2379A"/>
    <w:rsid w:val="00C735D8"/>
    <w:rsid w:val="00C764D7"/>
    <w:rsid w:val="00C87F8B"/>
    <w:rsid w:val="00CB1758"/>
    <w:rsid w:val="00D179F9"/>
    <w:rsid w:val="00D62902"/>
    <w:rsid w:val="00D8595F"/>
    <w:rsid w:val="00DA28A9"/>
    <w:rsid w:val="00DB4857"/>
    <w:rsid w:val="00DB793D"/>
    <w:rsid w:val="00DE311A"/>
    <w:rsid w:val="00E81F2E"/>
    <w:rsid w:val="00EA6A67"/>
    <w:rsid w:val="00EB440A"/>
    <w:rsid w:val="00EB5899"/>
    <w:rsid w:val="00EB74F2"/>
    <w:rsid w:val="00F01381"/>
    <w:rsid w:val="00F221D4"/>
    <w:rsid w:val="00F32136"/>
    <w:rsid w:val="00F4147E"/>
    <w:rsid w:val="00F636C7"/>
    <w:rsid w:val="00F93CC8"/>
    <w:rsid w:val="00FB6B67"/>
    <w:rsid w:val="00FB6C9E"/>
    <w:rsid w:val="00FC6A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851E"/>
  <w15:docId w15:val="{97AC2E31-E4A6-4F56-9978-64EBB98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C735D8"/>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Batang" w:eastAsia="Batang" w:hAnsi="Times New Roman" w:cs="Times New Roman"/>
      <w:b/>
      <w:bCs/>
      <w:kern w:val="2"/>
      <w:sz w:val="20"/>
      <w:szCs w:val="20"/>
    </w:rPr>
  </w:style>
  <w:style w:type="paragraph" w:styleId="Fuzeile">
    <w:name w:val="footer"/>
    <w:basedOn w:val="Standard"/>
    <w:link w:val="FuzeileZchn"/>
    <w:uiPriority w:val="99"/>
    <w:semiHidden/>
    <w:unhideWhenUsed/>
    <w:rsid w:val="0036504F"/>
    <w:pPr>
      <w:tabs>
        <w:tab w:val="center" w:pos="4252"/>
        <w:tab w:val="right" w:pos="8504"/>
      </w:tabs>
    </w:pPr>
  </w:style>
  <w:style w:type="character" w:customStyle="1" w:styleId="FuzeileZchn">
    <w:name w:val="Fußzeile Zchn"/>
    <w:basedOn w:val="Absatz-Standardschriftart"/>
    <w:link w:val="Fuzeile"/>
    <w:uiPriority w:val="99"/>
    <w:semiHidden/>
    <w:rsid w:val="0036504F"/>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3357-0D01-4401-BBB0-541DEB26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5650</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dc:description>KERN AG, Global Language Services_x000d_
R11133756 - Übersetzung Englisch - Spanisch</dc:description>
  <cp:lastModifiedBy>Andreas Lubitz</cp:lastModifiedBy>
  <cp:revision>11</cp:revision>
  <cp:lastPrinted>2018-02-08T16:23:00Z</cp:lastPrinted>
  <dcterms:created xsi:type="dcterms:W3CDTF">2018-02-08T17:43:00Z</dcterms:created>
  <dcterms:modified xsi:type="dcterms:W3CDTF">2018-02-14T16:07:00Z</dcterms:modified>
</cp:coreProperties>
</file>