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D8" w:rsidRDefault="00C735D8" w:rsidP="00C735D8">
      <w:pPr>
        <w:tabs>
          <w:tab w:val="left" w:pos="360"/>
        </w:tabs>
        <w:suppressAutoHyphens/>
        <w:wordWrap/>
        <w:snapToGrid w:val="0"/>
        <w:jc w:val="center"/>
        <w:rPr>
          <w:rFonts w:ascii="Helvetica" w:hAnsi="Helvetica"/>
          <w:b/>
          <w:snapToGrid w:val="0"/>
          <w:color w:val="FF6600"/>
          <w:kern w:val="18"/>
          <w:sz w:val="32"/>
        </w:rPr>
      </w:pPr>
      <w:r w:rsidRPr="00C735D8">
        <w:rPr>
          <w:rFonts w:ascii="Helvetica" w:hAnsi="Helvetica"/>
          <w:b/>
          <w:snapToGrid w:val="0"/>
          <w:color w:val="FF6600"/>
          <w:kern w:val="18"/>
          <w:sz w:val="32"/>
        </w:rPr>
        <w:t xml:space="preserve">Hankook Tire </w:t>
      </w:r>
      <w:r w:rsidR="00317CCA">
        <w:rPr>
          <w:rFonts w:ascii="Helvetica" w:hAnsi="Helvetica"/>
          <w:b/>
          <w:snapToGrid w:val="0"/>
          <w:color w:val="FF6600"/>
          <w:kern w:val="18"/>
          <w:sz w:val="32"/>
        </w:rPr>
        <w:t>Reports Globa</w:t>
      </w:r>
      <w:bookmarkStart w:id="0" w:name="_GoBack"/>
      <w:bookmarkEnd w:id="0"/>
      <w:r w:rsidR="00317CCA">
        <w:rPr>
          <w:rFonts w:ascii="Helvetica" w:hAnsi="Helvetica"/>
          <w:b/>
          <w:snapToGrid w:val="0"/>
          <w:color w:val="FF6600"/>
          <w:kern w:val="18"/>
          <w:sz w:val="32"/>
        </w:rPr>
        <w:t>l</w:t>
      </w:r>
      <w:r w:rsidR="00317CCA" w:rsidRPr="00C735D8">
        <w:rPr>
          <w:rFonts w:ascii="Helvetica" w:hAnsi="Helvetica"/>
          <w:b/>
          <w:snapToGrid w:val="0"/>
          <w:color w:val="FF6600"/>
          <w:kern w:val="18"/>
          <w:sz w:val="32"/>
        </w:rPr>
        <w:t xml:space="preserve"> </w:t>
      </w:r>
      <w:r w:rsidRPr="00C735D8">
        <w:rPr>
          <w:rFonts w:ascii="Helvetica" w:hAnsi="Helvetica"/>
          <w:b/>
          <w:snapToGrid w:val="0"/>
          <w:color w:val="FF6600"/>
          <w:kern w:val="18"/>
          <w:sz w:val="32"/>
        </w:rPr>
        <w:t>Financial Results</w:t>
      </w:r>
      <w:r w:rsidR="00317CCA">
        <w:rPr>
          <w:rFonts w:ascii="Helvetica" w:hAnsi="Helvetica"/>
          <w:b/>
          <w:snapToGrid w:val="0"/>
          <w:color w:val="FF6600"/>
          <w:kern w:val="18"/>
          <w:sz w:val="32"/>
        </w:rPr>
        <w:t xml:space="preserve"> for 2017</w:t>
      </w:r>
    </w:p>
    <w:p w:rsidR="00C735D8" w:rsidRDefault="00C735D8" w:rsidP="00C735D8">
      <w:pPr>
        <w:tabs>
          <w:tab w:val="left" w:pos="360"/>
        </w:tabs>
        <w:suppressAutoHyphens/>
        <w:wordWrap/>
        <w:snapToGrid w:val="0"/>
        <w:jc w:val="center"/>
        <w:rPr>
          <w:rFonts w:ascii="Helvetica" w:hAnsi="Helvetica"/>
          <w:b/>
          <w:snapToGrid w:val="0"/>
          <w:color w:val="FF6600"/>
          <w:kern w:val="18"/>
          <w:sz w:val="32"/>
        </w:rPr>
      </w:pPr>
    </w:p>
    <w:p w:rsidR="00C735D8" w:rsidRPr="00F31AEC" w:rsidRDefault="00C735D8" w:rsidP="00C764D7">
      <w:pPr>
        <w:tabs>
          <w:tab w:val="left" w:pos="360"/>
        </w:tabs>
        <w:suppressAutoHyphens/>
        <w:wordWrap/>
        <w:snapToGrid w:val="0"/>
        <w:rPr>
          <w:rFonts w:ascii="Times New Roman"/>
          <w:b/>
          <w:snapToGrid w:val="0"/>
          <w:sz w:val="22"/>
          <w:szCs w:val="22"/>
        </w:rPr>
      </w:pPr>
    </w:p>
    <w:p w:rsidR="009F46D2" w:rsidRDefault="00A30768" w:rsidP="00CB1758">
      <w:pPr>
        <w:tabs>
          <w:tab w:val="left" w:pos="142"/>
        </w:tabs>
        <w:wordWrap/>
        <w:spacing w:line="276" w:lineRule="auto"/>
        <w:jc w:val="left"/>
        <w:rPr>
          <w:rFonts w:ascii="Times New Roman"/>
          <w:b/>
          <w:snapToGrid w:val="0"/>
          <w:sz w:val="22"/>
        </w:rPr>
      </w:pPr>
      <w:r>
        <w:rPr>
          <w:rFonts w:ascii="Times New Roman"/>
          <w:b/>
          <w:snapToGrid w:val="0"/>
          <w:sz w:val="22"/>
        </w:rPr>
        <w:t xml:space="preserve">In comparison to </w:t>
      </w:r>
      <w:r w:rsidR="00276A82">
        <w:rPr>
          <w:rFonts w:ascii="Times New Roman"/>
          <w:b/>
          <w:snapToGrid w:val="0"/>
          <w:sz w:val="22"/>
        </w:rPr>
        <w:t>2016</w:t>
      </w:r>
      <w:r>
        <w:rPr>
          <w:rFonts w:ascii="Times New Roman"/>
          <w:b/>
          <w:snapToGrid w:val="0"/>
          <w:sz w:val="22"/>
        </w:rPr>
        <w:t>, the company’s s</w:t>
      </w:r>
      <w:r w:rsidR="00C735D8" w:rsidRPr="00C735D8">
        <w:rPr>
          <w:rFonts w:ascii="Times New Roman"/>
          <w:b/>
          <w:snapToGrid w:val="0"/>
          <w:sz w:val="22"/>
        </w:rPr>
        <w:t xml:space="preserve">ales increased </w:t>
      </w:r>
      <w:r>
        <w:rPr>
          <w:rFonts w:ascii="Times New Roman"/>
          <w:b/>
          <w:snapToGrid w:val="0"/>
          <w:sz w:val="22"/>
        </w:rPr>
        <w:t xml:space="preserve">by </w:t>
      </w:r>
      <w:r w:rsidR="00C735D8" w:rsidRPr="00C735D8">
        <w:rPr>
          <w:rFonts w:ascii="Times New Roman"/>
          <w:b/>
          <w:snapToGrid w:val="0"/>
          <w:sz w:val="22"/>
        </w:rPr>
        <w:t xml:space="preserve">2.9% </w:t>
      </w:r>
      <w:r w:rsidR="00B776BA">
        <w:rPr>
          <w:rFonts w:ascii="Times New Roman"/>
          <w:b/>
          <w:snapToGrid w:val="0"/>
          <w:sz w:val="22"/>
        </w:rPr>
        <w:t>in 2017. This result was</w:t>
      </w:r>
      <w:r w:rsidRPr="00C735D8">
        <w:rPr>
          <w:rFonts w:ascii="Times New Roman"/>
          <w:b/>
          <w:snapToGrid w:val="0"/>
          <w:sz w:val="22"/>
        </w:rPr>
        <w:t xml:space="preserve"> </w:t>
      </w:r>
      <w:r w:rsidR="00C735D8" w:rsidRPr="00C735D8">
        <w:rPr>
          <w:rFonts w:ascii="Times New Roman"/>
          <w:b/>
          <w:snapToGrid w:val="0"/>
          <w:sz w:val="22"/>
        </w:rPr>
        <w:t xml:space="preserve">driven by </w:t>
      </w:r>
      <w:r w:rsidR="00F93CC8">
        <w:rPr>
          <w:rFonts w:ascii="Times New Roman"/>
          <w:b/>
          <w:snapToGrid w:val="0"/>
          <w:sz w:val="22"/>
        </w:rPr>
        <w:t>an expansion of</w:t>
      </w:r>
      <w:r w:rsidR="00B776BA">
        <w:rPr>
          <w:rFonts w:ascii="Times New Roman"/>
          <w:b/>
          <w:snapToGrid w:val="0"/>
          <w:sz w:val="22"/>
        </w:rPr>
        <w:t xml:space="preserve"> the </w:t>
      </w:r>
      <w:r w:rsidR="00C735D8" w:rsidRPr="00C735D8">
        <w:rPr>
          <w:rFonts w:ascii="Times New Roman"/>
          <w:b/>
          <w:snapToGrid w:val="0"/>
          <w:sz w:val="22"/>
        </w:rPr>
        <w:t xml:space="preserve">premium OE </w:t>
      </w:r>
      <w:r w:rsidR="00B776BA">
        <w:rPr>
          <w:rFonts w:ascii="Times New Roman"/>
          <w:b/>
          <w:snapToGrid w:val="0"/>
          <w:sz w:val="22"/>
        </w:rPr>
        <w:t>segment</w:t>
      </w:r>
      <w:r w:rsidR="00B776BA" w:rsidRPr="00C735D8">
        <w:rPr>
          <w:rFonts w:ascii="Times New Roman"/>
          <w:b/>
          <w:snapToGrid w:val="0"/>
          <w:sz w:val="22"/>
        </w:rPr>
        <w:t xml:space="preserve"> </w:t>
      </w:r>
      <w:r w:rsidR="00C735D8" w:rsidRPr="00C735D8">
        <w:rPr>
          <w:rFonts w:ascii="Times New Roman"/>
          <w:b/>
          <w:snapToGrid w:val="0"/>
          <w:sz w:val="22"/>
        </w:rPr>
        <w:t xml:space="preserve">and </w:t>
      </w:r>
      <w:r w:rsidR="00B776BA">
        <w:rPr>
          <w:rFonts w:ascii="Times New Roman"/>
          <w:b/>
          <w:snapToGrid w:val="0"/>
          <w:sz w:val="22"/>
        </w:rPr>
        <w:t xml:space="preserve">a </w:t>
      </w:r>
      <w:r w:rsidR="00C735D8" w:rsidRPr="00C735D8">
        <w:rPr>
          <w:rFonts w:ascii="Times New Roman"/>
          <w:b/>
          <w:snapToGrid w:val="0"/>
          <w:sz w:val="22"/>
        </w:rPr>
        <w:t xml:space="preserve">sales growth </w:t>
      </w:r>
      <w:r w:rsidR="00632732">
        <w:rPr>
          <w:rFonts w:ascii="Times New Roman"/>
          <w:b/>
          <w:snapToGrid w:val="0"/>
          <w:sz w:val="22"/>
        </w:rPr>
        <w:t xml:space="preserve">of </w:t>
      </w:r>
      <w:r w:rsidR="00632732" w:rsidRPr="00583DE3">
        <w:rPr>
          <w:rFonts w:ascii="Times New Roman" w:eastAsiaTheme="majorEastAsia"/>
          <w:b/>
          <w:iCs/>
          <w:color w:val="000000" w:themeColor="text1"/>
          <w:kern w:val="0"/>
          <w:sz w:val="22"/>
        </w:rPr>
        <w:t>larger s</w:t>
      </w:r>
      <w:r w:rsidR="00632732">
        <w:rPr>
          <w:rFonts w:ascii="Times New Roman" w:eastAsiaTheme="majorEastAsia"/>
          <w:b/>
          <w:iCs/>
          <w:color w:val="000000" w:themeColor="text1"/>
          <w:kern w:val="0"/>
          <w:sz w:val="22"/>
        </w:rPr>
        <w:t xml:space="preserve">ize tyres starting from 17-inch </w:t>
      </w:r>
      <w:r w:rsidR="00C735D8" w:rsidRPr="00C735D8">
        <w:rPr>
          <w:rFonts w:ascii="Times New Roman"/>
          <w:b/>
          <w:snapToGrid w:val="0"/>
          <w:sz w:val="22"/>
        </w:rPr>
        <w:t>especially in Europe and the U.S</w:t>
      </w:r>
      <w:r w:rsidR="0025619D">
        <w:rPr>
          <w:rFonts w:ascii="Times New Roman"/>
          <w:b/>
          <w:snapToGrid w:val="0"/>
          <w:sz w:val="22"/>
        </w:rPr>
        <w:t>.</w:t>
      </w:r>
    </w:p>
    <w:p w:rsidR="00C735D8" w:rsidRDefault="00C735D8" w:rsidP="00B749EB">
      <w:pPr>
        <w:tabs>
          <w:tab w:val="left" w:pos="142"/>
        </w:tabs>
        <w:wordWrap/>
        <w:spacing w:line="276" w:lineRule="auto"/>
        <w:rPr>
          <w:rFonts w:ascii="Times New Roman"/>
          <w:b/>
          <w:snapToGrid w:val="0"/>
          <w:sz w:val="22"/>
          <w:szCs w:val="22"/>
        </w:rPr>
      </w:pPr>
    </w:p>
    <w:p w:rsidR="00C735D8" w:rsidRPr="00C735D8" w:rsidRDefault="00DB793D" w:rsidP="00C735D8">
      <w:pPr>
        <w:tabs>
          <w:tab w:val="left" w:pos="142"/>
        </w:tabs>
        <w:wordWrap/>
        <w:spacing w:line="276" w:lineRule="auto"/>
        <w:rPr>
          <w:rFonts w:ascii="Times New Roman"/>
          <w:kern w:val="0"/>
          <w:sz w:val="21"/>
        </w:rPr>
      </w:pPr>
      <w:r>
        <w:rPr>
          <w:rFonts w:ascii="Times New Roman"/>
          <w:b/>
          <w:i/>
          <w:kern w:val="0"/>
          <w:sz w:val="21"/>
        </w:rPr>
        <w:t xml:space="preserve">Seoul, Korea / </w:t>
      </w:r>
      <w:r w:rsidR="00C764D7">
        <w:rPr>
          <w:rFonts w:ascii="Times New Roman"/>
          <w:b/>
          <w:i/>
          <w:kern w:val="0"/>
          <w:sz w:val="21"/>
        </w:rPr>
        <w:t xml:space="preserve">Neu-Isenburg, Germany, </w:t>
      </w:r>
      <w:r w:rsidR="0073564C">
        <w:rPr>
          <w:rFonts w:ascii="Times New Roman"/>
          <w:b/>
          <w:i/>
          <w:kern w:val="0"/>
          <w:sz w:val="21"/>
        </w:rPr>
        <w:t>February</w:t>
      </w:r>
      <w:r w:rsidR="00C764D7">
        <w:rPr>
          <w:rFonts w:ascii="Times New Roman"/>
          <w:b/>
          <w:i/>
          <w:kern w:val="0"/>
          <w:sz w:val="21"/>
        </w:rPr>
        <w:t xml:space="preserve"> </w:t>
      </w:r>
      <w:r>
        <w:rPr>
          <w:rFonts w:ascii="Times New Roman"/>
          <w:b/>
          <w:i/>
          <w:kern w:val="0"/>
          <w:sz w:val="21"/>
        </w:rPr>
        <w:t>9</w:t>
      </w:r>
      <w:r w:rsidR="005F1C51">
        <w:rPr>
          <w:rFonts w:ascii="Times New Roman"/>
          <w:b/>
          <w:i/>
          <w:kern w:val="0"/>
          <w:sz w:val="21"/>
        </w:rPr>
        <w:t>,</w:t>
      </w:r>
      <w:r>
        <w:rPr>
          <w:rFonts w:ascii="Times New Roman"/>
          <w:b/>
          <w:i/>
          <w:kern w:val="0"/>
          <w:sz w:val="21"/>
        </w:rPr>
        <w:t xml:space="preserve"> </w:t>
      </w:r>
      <w:r w:rsidR="00C764D7">
        <w:rPr>
          <w:rFonts w:ascii="Times New Roman"/>
          <w:b/>
          <w:i/>
          <w:kern w:val="0"/>
          <w:sz w:val="21"/>
        </w:rPr>
        <w:t>2018</w:t>
      </w:r>
      <w:r w:rsidR="00C764D7">
        <w:rPr>
          <w:rFonts w:ascii="Times New Roman"/>
          <w:kern w:val="0"/>
          <w:sz w:val="21"/>
        </w:rPr>
        <w:t xml:space="preserve"> ‒ </w:t>
      </w:r>
      <w:r>
        <w:rPr>
          <w:rFonts w:ascii="Times New Roman"/>
          <w:kern w:val="0"/>
          <w:sz w:val="21"/>
        </w:rPr>
        <w:t xml:space="preserve">Premium tyre maker </w:t>
      </w:r>
      <w:r w:rsidR="00C735D8" w:rsidRPr="00C735D8">
        <w:rPr>
          <w:rFonts w:ascii="Times New Roman"/>
          <w:kern w:val="0"/>
          <w:sz w:val="21"/>
        </w:rPr>
        <w:t xml:space="preserve">Hankook announced its </w:t>
      </w:r>
      <w:r w:rsidR="00407C1A">
        <w:rPr>
          <w:rFonts w:ascii="Times New Roman"/>
          <w:kern w:val="0"/>
          <w:sz w:val="21"/>
        </w:rPr>
        <w:t>global financial results for the fiscal year 2017</w:t>
      </w:r>
      <w:r w:rsidR="00C735D8" w:rsidRPr="00C735D8">
        <w:rPr>
          <w:rFonts w:ascii="Times New Roman"/>
          <w:kern w:val="0"/>
          <w:sz w:val="21"/>
        </w:rPr>
        <w:t xml:space="preserve"> with consolidated</w:t>
      </w:r>
      <w:r w:rsidR="00AD6366">
        <w:rPr>
          <w:rFonts w:ascii="Times New Roman"/>
          <w:kern w:val="0"/>
          <w:sz w:val="21"/>
        </w:rPr>
        <w:t xml:space="preserve"> </w:t>
      </w:r>
      <w:r w:rsidR="00C735D8" w:rsidRPr="00C735D8">
        <w:rPr>
          <w:rFonts w:ascii="Times New Roman"/>
          <w:kern w:val="0"/>
          <w:sz w:val="21"/>
        </w:rPr>
        <w:t>sales of KRW 6.81 trillion</w:t>
      </w:r>
      <w:r>
        <w:rPr>
          <w:rFonts w:ascii="Times New Roman"/>
          <w:kern w:val="0"/>
          <w:sz w:val="21"/>
        </w:rPr>
        <w:t xml:space="preserve"> (</w:t>
      </w:r>
      <w:r w:rsidR="002D14B7">
        <w:rPr>
          <w:rFonts w:ascii="Times New Roman"/>
          <w:kern w:val="0"/>
          <w:sz w:val="21"/>
        </w:rPr>
        <w:t>5.3</w:t>
      </w:r>
      <w:r w:rsidR="005F1C51">
        <w:rPr>
          <w:rFonts w:ascii="Times New Roman"/>
          <w:kern w:val="0"/>
          <w:sz w:val="21"/>
        </w:rPr>
        <w:t>4</w:t>
      </w:r>
      <w:r w:rsidR="002D14B7">
        <w:rPr>
          <w:rFonts w:ascii="Times New Roman"/>
          <w:kern w:val="0"/>
          <w:sz w:val="21"/>
        </w:rPr>
        <w:t xml:space="preserve"> billion Euro)</w:t>
      </w:r>
      <w:r w:rsidR="00C735D8" w:rsidRPr="00C735D8">
        <w:rPr>
          <w:rFonts w:ascii="Times New Roman"/>
          <w:kern w:val="0"/>
          <w:sz w:val="21"/>
        </w:rPr>
        <w:t xml:space="preserve"> and an operating profit of KRW 793.7 billion</w:t>
      </w:r>
      <w:r w:rsidR="002D14B7">
        <w:rPr>
          <w:rFonts w:ascii="Times New Roman"/>
          <w:kern w:val="0"/>
          <w:sz w:val="21"/>
        </w:rPr>
        <w:t xml:space="preserve"> (621.8 million Euro)</w:t>
      </w:r>
      <w:r w:rsidR="00C735D8" w:rsidRPr="00C735D8">
        <w:rPr>
          <w:rFonts w:ascii="Times New Roman"/>
          <w:kern w:val="0"/>
          <w:sz w:val="21"/>
        </w:rPr>
        <w:t>.</w:t>
      </w:r>
    </w:p>
    <w:p w:rsidR="00C735D8" w:rsidRPr="00C735D8" w:rsidRDefault="00C735D8" w:rsidP="00C735D8">
      <w:pPr>
        <w:tabs>
          <w:tab w:val="left" w:pos="142"/>
        </w:tabs>
        <w:wordWrap/>
        <w:spacing w:line="276" w:lineRule="auto"/>
        <w:rPr>
          <w:rFonts w:ascii="Times New Roman"/>
          <w:kern w:val="0"/>
          <w:sz w:val="21"/>
        </w:rPr>
      </w:pPr>
    </w:p>
    <w:p w:rsidR="00C735D8" w:rsidRPr="00C735D8" w:rsidRDefault="00407C1A" w:rsidP="00C735D8">
      <w:pPr>
        <w:tabs>
          <w:tab w:val="left" w:pos="142"/>
        </w:tabs>
        <w:wordWrap/>
        <w:spacing w:line="276" w:lineRule="auto"/>
        <w:rPr>
          <w:rFonts w:ascii="Times New Roman"/>
          <w:kern w:val="0"/>
          <w:sz w:val="21"/>
        </w:rPr>
      </w:pPr>
      <w:r>
        <w:rPr>
          <w:rFonts w:ascii="Times New Roman"/>
          <w:kern w:val="0"/>
          <w:sz w:val="21"/>
        </w:rPr>
        <w:t>In comparison to 2016’s results, t</w:t>
      </w:r>
      <w:r w:rsidR="00C735D8" w:rsidRPr="00C735D8">
        <w:rPr>
          <w:rFonts w:ascii="Times New Roman"/>
          <w:kern w:val="0"/>
          <w:sz w:val="21"/>
        </w:rPr>
        <w:t>he sales increased by 2.9%</w:t>
      </w:r>
      <w:r w:rsidR="00B776BA">
        <w:rPr>
          <w:rFonts w:ascii="Times New Roman"/>
          <w:kern w:val="0"/>
          <w:sz w:val="21"/>
        </w:rPr>
        <w:t>. This growth</w:t>
      </w:r>
      <w:r w:rsidR="00C735D8" w:rsidRPr="00C735D8">
        <w:rPr>
          <w:rFonts w:ascii="Times New Roman"/>
          <w:kern w:val="0"/>
          <w:sz w:val="21"/>
        </w:rPr>
        <w:t xml:space="preserve"> is attributed to increased sales of </w:t>
      </w:r>
      <w:r w:rsidR="00632732">
        <w:rPr>
          <w:rFonts w:ascii="Times New Roman"/>
          <w:kern w:val="0"/>
          <w:sz w:val="21"/>
        </w:rPr>
        <w:t xml:space="preserve">larger size </w:t>
      </w:r>
      <w:r w:rsidR="008158BA">
        <w:rPr>
          <w:rFonts w:ascii="Times New Roman"/>
          <w:kern w:val="0"/>
          <w:sz w:val="21"/>
        </w:rPr>
        <w:t xml:space="preserve">passenger and SUV </w:t>
      </w:r>
      <w:r w:rsidR="00632732">
        <w:rPr>
          <w:rFonts w:ascii="Times New Roman"/>
          <w:kern w:val="0"/>
          <w:sz w:val="21"/>
        </w:rPr>
        <w:t xml:space="preserve">tyres starting from 17-inch </w:t>
      </w:r>
      <w:r w:rsidR="00C735D8" w:rsidRPr="00C735D8">
        <w:rPr>
          <w:rFonts w:ascii="Times New Roman"/>
          <w:kern w:val="0"/>
          <w:sz w:val="21"/>
        </w:rPr>
        <w:t xml:space="preserve">based on </w:t>
      </w:r>
      <w:r>
        <w:rPr>
          <w:rFonts w:ascii="Times New Roman"/>
          <w:kern w:val="0"/>
          <w:sz w:val="21"/>
        </w:rPr>
        <w:t xml:space="preserve">Hankook Tire’s </w:t>
      </w:r>
      <w:r w:rsidR="00C735D8" w:rsidRPr="00C735D8">
        <w:rPr>
          <w:rFonts w:ascii="Times New Roman"/>
          <w:kern w:val="0"/>
          <w:sz w:val="21"/>
        </w:rPr>
        <w:t>global top-tier technology and product quality</w:t>
      </w:r>
      <w:r>
        <w:rPr>
          <w:rFonts w:ascii="Times New Roman"/>
          <w:kern w:val="0"/>
          <w:sz w:val="21"/>
        </w:rPr>
        <w:t>. A</w:t>
      </w:r>
      <w:r w:rsidR="00C735D8" w:rsidRPr="00C735D8">
        <w:rPr>
          <w:rFonts w:ascii="Times New Roman"/>
          <w:kern w:val="0"/>
          <w:sz w:val="21"/>
        </w:rPr>
        <w:t xml:space="preserve"> balanced growth in all regions</w:t>
      </w:r>
      <w:r>
        <w:rPr>
          <w:rFonts w:ascii="Times New Roman"/>
          <w:kern w:val="0"/>
          <w:sz w:val="21"/>
        </w:rPr>
        <w:t xml:space="preserve"> </w:t>
      </w:r>
      <w:r w:rsidR="00863AB8">
        <w:rPr>
          <w:rFonts w:ascii="Times New Roman"/>
          <w:kern w:val="0"/>
          <w:sz w:val="21"/>
        </w:rPr>
        <w:t>also contributed to higher sales</w:t>
      </w:r>
      <w:r w:rsidR="00C735D8" w:rsidRPr="00C735D8">
        <w:rPr>
          <w:rFonts w:ascii="Times New Roman"/>
          <w:kern w:val="0"/>
          <w:sz w:val="21"/>
        </w:rPr>
        <w:t xml:space="preserve">. The operating profit decreased by 28%, affected by factors such as </w:t>
      </w:r>
      <w:r w:rsidR="0055710D">
        <w:rPr>
          <w:rFonts w:ascii="Times New Roman"/>
          <w:kern w:val="0"/>
          <w:sz w:val="21"/>
        </w:rPr>
        <w:t>the increased price</w:t>
      </w:r>
      <w:r w:rsidR="00C735D8" w:rsidRPr="00C735D8">
        <w:rPr>
          <w:rFonts w:ascii="Times New Roman"/>
          <w:kern w:val="0"/>
          <w:sz w:val="21"/>
        </w:rPr>
        <w:t xml:space="preserve"> </w:t>
      </w:r>
      <w:r w:rsidR="00A50028">
        <w:rPr>
          <w:rFonts w:ascii="Times New Roman"/>
          <w:kern w:val="0"/>
          <w:sz w:val="21"/>
        </w:rPr>
        <w:t>of</w:t>
      </w:r>
      <w:r w:rsidR="00C735D8" w:rsidRPr="00C735D8">
        <w:rPr>
          <w:rFonts w:ascii="Times New Roman"/>
          <w:kern w:val="0"/>
          <w:sz w:val="21"/>
        </w:rPr>
        <w:t xml:space="preserve"> raw materials.</w:t>
      </w:r>
    </w:p>
    <w:p w:rsidR="00C735D8" w:rsidRPr="00C735D8" w:rsidRDefault="00C735D8" w:rsidP="00C735D8">
      <w:pPr>
        <w:tabs>
          <w:tab w:val="left" w:pos="142"/>
        </w:tabs>
        <w:wordWrap/>
        <w:spacing w:line="276" w:lineRule="auto"/>
        <w:rPr>
          <w:rFonts w:ascii="Times New Roman"/>
          <w:kern w:val="0"/>
          <w:sz w:val="21"/>
        </w:rPr>
      </w:pPr>
    </w:p>
    <w:p w:rsidR="00C735D8" w:rsidRPr="00C735D8" w:rsidRDefault="00C735D8" w:rsidP="00C735D8">
      <w:pPr>
        <w:tabs>
          <w:tab w:val="left" w:pos="142"/>
        </w:tabs>
        <w:wordWrap/>
        <w:spacing w:line="276" w:lineRule="auto"/>
        <w:rPr>
          <w:rFonts w:ascii="Times New Roman"/>
          <w:kern w:val="0"/>
          <w:sz w:val="21"/>
        </w:rPr>
      </w:pPr>
      <w:r w:rsidRPr="00C735D8">
        <w:rPr>
          <w:rFonts w:ascii="Times New Roman"/>
          <w:kern w:val="0"/>
          <w:sz w:val="21"/>
        </w:rPr>
        <w:t>The sales of high inch t</w:t>
      </w:r>
      <w:r w:rsidR="00632732">
        <w:rPr>
          <w:rFonts w:ascii="Times New Roman"/>
          <w:kern w:val="0"/>
          <w:sz w:val="21"/>
        </w:rPr>
        <w:t>y</w:t>
      </w:r>
      <w:r w:rsidRPr="00C735D8">
        <w:rPr>
          <w:rFonts w:ascii="Times New Roman"/>
          <w:kern w:val="0"/>
          <w:sz w:val="21"/>
        </w:rPr>
        <w:t>res (over 17 inch) account</w:t>
      </w:r>
      <w:r w:rsidR="00A30768">
        <w:rPr>
          <w:rFonts w:ascii="Times New Roman"/>
          <w:kern w:val="0"/>
          <w:sz w:val="21"/>
        </w:rPr>
        <w:t>ed</w:t>
      </w:r>
      <w:r w:rsidRPr="00C735D8">
        <w:rPr>
          <w:rFonts w:ascii="Times New Roman"/>
          <w:kern w:val="0"/>
          <w:sz w:val="21"/>
        </w:rPr>
        <w:t xml:space="preserve"> for 48.4% of the total sales</w:t>
      </w:r>
      <w:r w:rsidR="00A50028">
        <w:rPr>
          <w:rFonts w:ascii="Times New Roman"/>
          <w:kern w:val="0"/>
          <w:sz w:val="21"/>
        </w:rPr>
        <w:t>. It</w:t>
      </w:r>
      <w:r w:rsidRPr="00C735D8">
        <w:rPr>
          <w:rFonts w:ascii="Times New Roman"/>
          <w:kern w:val="0"/>
          <w:sz w:val="21"/>
        </w:rPr>
        <w:t xml:space="preserve"> increased </w:t>
      </w:r>
      <w:r w:rsidR="00A50028">
        <w:rPr>
          <w:rFonts w:ascii="Times New Roman"/>
          <w:kern w:val="0"/>
          <w:sz w:val="21"/>
        </w:rPr>
        <w:t xml:space="preserve">by </w:t>
      </w:r>
      <w:r w:rsidRPr="00C735D8">
        <w:rPr>
          <w:rFonts w:ascii="Times New Roman"/>
          <w:kern w:val="0"/>
          <w:sz w:val="21"/>
        </w:rPr>
        <w:t xml:space="preserve">3.9% from the previous year, leading </w:t>
      </w:r>
      <w:r w:rsidR="00A50028">
        <w:rPr>
          <w:rFonts w:ascii="Times New Roman"/>
          <w:kern w:val="0"/>
          <w:sz w:val="21"/>
        </w:rPr>
        <w:t>Hankook Tire’s</w:t>
      </w:r>
      <w:r w:rsidRPr="00C735D8">
        <w:rPr>
          <w:rFonts w:ascii="Times New Roman"/>
          <w:kern w:val="0"/>
          <w:sz w:val="21"/>
        </w:rPr>
        <w:t xml:space="preserve"> growth into a global top-tier company. The company's achievement is driven by the increased supply of </w:t>
      </w:r>
      <w:r w:rsidR="008158BA">
        <w:rPr>
          <w:rFonts w:ascii="Times New Roman"/>
          <w:kern w:val="0"/>
          <w:sz w:val="21"/>
        </w:rPr>
        <w:t>original equipment (OE) tyres as well as tyres for the replacement market (RE)</w:t>
      </w:r>
      <w:r w:rsidR="00AF0372">
        <w:rPr>
          <w:rFonts w:ascii="Times New Roman"/>
          <w:kern w:val="0"/>
          <w:sz w:val="21"/>
        </w:rPr>
        <w:t xml:space="preserve"> </w:t>
      </w:r>
      <w:r w:rsidRPr="00C735D8">
        <w:rPr>
          <w:rFonts w:ascii="Times New Roman"/>
          <w:kern w:val="0"/>
          <w:sz w:val="21"/>
        </w:rPr>
        <w:t>especially in Europe and China</w:t>
      </w:r>
      <w:r w:rsidR="00A50028">
        <w:rPr>
          <w:rFonts w:ascii="Times New Roman"/>
          <w:kern w:val="0"/>
          <w:sz w:val="21"/>
        </w:rPr>
        <w:t>.</w:t>
      </w:r>
      <w:r w:rsidRPr="00C735D8">
        <w:rPr>
          <w:rFonts w:ascii="Times New Roman"/>
          <w:kern w:val="0"/>
          <w:sz w:val="21"/>
        </w:rPr>
        <w:t xml:space="preserve"> Additionally, </w:t>
      </w:r>
      <w:r w:rsidR="00A50028">
        <w:rPr>
          <w:rFonts w:ascii="Times New Roman"/>
          <w:kern w:val="0"/>
          <w:sz w:val="21"/>
        </w:rPr>
        <w:t>i</w:t>
      </w:r>
      <w:r w:rsidRPr="00C735D8">
        <w:rPr>
          <w:rFonts w:ascii="Times New Roman"/>
          <w:kern w:val="0"/>
          <w:sz w:val="21"/>
        </w:rPr>
        <w:t xml:space="preserve">ncreased sales of RE </w:t>
      </w:r>
      <w:r w:rsidR="00AF0372">
        <w:rPr>
          <w:rFonts w:ascii="Times New Roman"/>
          <w:kern w:val="0"/>
          <w:sz w:val="21"/>
        </w:rPr>
        <w:t xml:space="preserve">tyres </w:t>
      </w:r>
      <w:r w:rsidR="00C01E3D">
        <w:rPr>
          <w:rFonts w:ascii="Times New Roman"/>
          <w:kern w:val="0"/>
          <w:sz w:val="21"/>
        </w:rPr>
        <w:t>due to</w:t>
      </w:r>
      <w:r w:rsidR="00EB440A">
        <w:rPr>
          <w:rFonts w:ascii="Times New Roman"/>
          <w:kern w:val="0"/>
          <w:sz w:val="21"/>
        </w:rPr>
        <w:t xml:space="preserve"> </w:t>
      </w:r>
      <w:r w:rsidRPr="00C735D8">
        <w:rPr>
          <w:rFonts w:ascii="Times New Roman"/>
          <w:kern w:val="0"/>
          <w:sz w:val="21"/>
        </w:rPr>
        <w:t>strengthened distribution channel</w:t>
      </w:r>
      <w:r w:rsidR="00A50028">
        <w:rPr>
          <w:rFonts w:ascii="Times New Roman"/>
          <w:kern w:val="0"/>
          <w:sz w:val="21"/>
        </w:rPr>
        <w:t>s</w:t>
      </w:r>
      <w:r w:rsidRPr="00C735D8">
        <w:rPr>
          <w:rFonts w:ascii="Times New Roman"/>
          <w:kern w:val="0"/>
          <w:sz w:val="21"/>
        </w:rPr>
        <w:t xml:space="preserve"> in North America and </w:t>
      </w:r>
      <w:r w:rsidR="00AF0372">
        <w:rPr>
          <w:rFonts w:ascii="Times New Roman"/>
          <w:kern w:val="0"/>
          <w:sz w:val="21"/>
        </w:rPr>
        <w:t xml:space="preserve">an </w:t>
      </w:r>
      <w:r w:rsidRPr="00C735D8">
        <w:rPr>
          <w:rFonts w:ascii="Times New Roman"/>
          <w:kern w:val="0"/>
          <w:sz w:val="21"/>
        </w:rPr>
        <w:t xml:space="preserve">expanded supply of OE </w:t>
      </w:r>
      <w:r w:rsidR="00AD6366">
        <w:rPr>
          <w:rFonts w:ascii="Times New Roman"/>
          <w:kern w:val="0"/>
          <w:sz w:val="21"/>
        </w:rPr>
        <w:t xml:space="preserve">tyres </w:t>
      </w:r>
      <w:r w:rsidRPr="00C735D8">
        <w:rPr>
          <w:rFonts w:ascii="Times New Roman"/>
          <w:kern w:val="0"/>
          <w:sz w:val="21"/>
        </w:rPr>
        <w:t xml:space="preserve">to Japanese companies contributed to </w:t>
      </w:r>
      <w:r w:rsidR="00A30768">
        <w:rPr>
          <w:rFonts w:ascii="Times New Roman"/>
          <w:kern w:val="0"/>
          <w:sz w:val="21"/>
        </w:rPr>
        <w:t xml:space="preserve">a </w:t>
      </w:r>
      <w:r w:rsidRPr="00C735D8">
        <w:rPr>
          <w:rFonts w:ascii="Times New Roman"/>
          <w:kern w:val="0"/>
          <w:sz w:val="21"/>
        </w:rPr>
        <w:t>positive sales growth.</w:t>
      </w:r>
    </w:p>
    <w:p w:rsidR="00C735D8" w:rsidRPr="00C735D8" w:rsidRDefault="00C735D8" w:rsidP="00C735D8">
      <w:pPr>
        <w:tabs>
          <w:tab w:val="left" w:pos="142"/>
        </w:tabs>
        <w:wordWrap/>
        <w:spacing w:line="276" w:lineRule="auto"/>
        <w:rPr>
          <w:rFonts w:ascii="Times New Roman"/>
          <w:kern w:val="0"/>
          <w:sz w:val="21"/>
        </w:rPr>
      </w:pPr>
    </w:p>
    <w:p w:rsidR="00C764D7" w:rsidRDefault="00C735D8" w:rsidP="00C735D8">
      <w:pPr>
        <w:tabs>
          <w:tab w:val="left" w:pos="142"/>
        </w:tabs>
        <w:wordWrap/>
        <w:spacing w:line="276" w:lineRule="auto"/>
        <w:rPr>
          <w:rFonts w:ascii="Times New Roman" w:eastAsia="Times New Roman"/>
          <w:kern w:val="0"/>
          <w:sz w:val="21"/>
          <w:szCs w:val="21"/>
        </w:rPr>
      </w:pPr>
      <w:r w:rsidRPr="00C735D8">
        <w:rPr>
          <w:rFonts w:ascii="Times New Roman"/>
          <w:kern w:val="0"/>
          <w:sz w:val="21"/>
        </w:rPr>
        <w:t>With 2018</w:t>
      </w:r>
      <w:r w:rsidR="00AF0372">
        <w:rPr>
          <w:rFonts w:ascii="Times New Roman"/>
          <w:kern w:val="0"/>
          <w:sz w:val="21"/>
        </w:rPr>
        <w:t>’s</w:t>
      </w:r>
      <w:r w:rsidRPr="00C735D8">
        <w:rPr>
          <w:rFonts w:ascii="Times New Roman"/>
          <w:kern w:val="0"/>
          <w:sz w:val="21"/>
        </w:rPr>
        <w:t xml:space="preserve"> target of reaching </w:t>
      </w:r>
      <w:r w:rsidR="001C16AF">
        <w:rPr>
          <w:rFonts w:ascii="Times New Roman"/>
          <w:kern w:val="0"/>
          <w:sz w:val="21"/>
        </w:rPr>
        <w:t xml:space="preserve">global sales revenues of </w:t>
      </w:r>
      <w:r w:rsidRPr="00C735D8">
        <w:rPr>
          <w:rFonts w:ascii="Times New Roman"/>
          <w:kern w:val="0"/>
          <w:sz w:val="21"/>
        </w:rPr>
        <w:t xml:space="preserve">KRW 7.4 trillion and operating profits of KRW 1.02 trillion, Hankook Tire plans to focus on strengthening the company’s position as </w:t>
      </w:r>
      <w:r w:rsidR="00A30768">
        <w:rPr>
          <w:rFonts w:ascii="Times New Roman"/>
          <w:kern w:val="0"/>
          <w:sz w:val="21"/>
        </w:rPr>
        <w:t xml:space="preserve">a </w:t>
      </w:r>
      <w:r w:rsidRPr="00C735D8">
        <w:rPr>
          <w:rFonts w:ascii="Times New Roman"/>
          <w:kern w:val="0"/>
          <w:sz w:val="21"/>
        </w:rPr>
        <w:t>premium brand through improving competitive products, expanding sales of high inch t</w:t>
      </w:r>
      <w:r w:rsidR="00AD6366">
        <w:rPr>
          <w:rFonts w:ascii="Times New Roman"/>
          <w:kern w:val="0"/>
          <w:sz w:val="21"/>
        </w:rPr>
        <w:t>y</w:t>
      </w:r>
      <w:r w:rsidRPr="00C735D8">
        <w:rPr>
          <w:rFonts w:ascii="Times New Roman"/>
          <w:kern w:val="0"/>
          <w:sz w:val="21"/>
        </w:rPr>
        <w:t>res in major markets and continu</w:t>
      </w:r>
      <w:r w:rsidR="00C01E3D">
        <w:rPr>
          <w:rFonts w:ascii="Times New Roman"/>
          <w:kern w:val="0"/>
          <w:sz w:val="21"/>
        </w:rPr>
        <w:t>ous</w:t>
      </w:r>
      <w:r w:rsidRPr="00C735D8">
        <w:rPr>
          <w:rFonts w:ascii="Times New Roman"/>
          <w:kern w:val="0"/>
          <w:sz w:val="21"/>
        </w:rPr>
        <w:t xml:space="preserve"> supplying OE t</w:t>
      </w:r>
      <w:r w:rsidR="00AD6366">
        <w:rPr>
          <w:rFonts w:ascii="Times New Roman"/>
          <w:kern w:val="0"/>
          <w:sz w:val="21"/>
        </w:rPr>
        <w:t>y</w:t>
      </w:r>
      <w:r w:rsidRPr="00C735D8">
        <w:rPr>
          <w:rFonts w:ascii="Times New Roman"/>
          <w:kern w:val="0"/>
          <w:sz w:val="21"/>
        </w:rPr>
        <w:t xml:space="preserve">res for new models of major </w:t>
      </w:r>
      <w:r w:rsidR="00AD6366">
        <w:rPr>
          <w:rFonts w:ascii="Times New Roman"/>
          <w:kern w:val="0"/>
          <w:sz w:val="21"/>
        </w:rPr>
        <w:t>premium</w:t>
      </w:r>
      <w:r w:rsidRPr="00C735D8">
        <w:rPr>
          <w:rFonts w:ascii="Times New Roman"/>
          <w:kern w:val="0"/>
          <w:sz w:val="21"/>
        </w:rPr>
        <w:t xml:space="preserve"> automobile brands. Moreover, the company will diversify </w:t>
      </w:r>
      <w:r w:rsidR="00AD6366">
        <w:rPr>
          <w:rFonts w:ascii="Times New Roman"/>
          <w:kern w:val="0"/>
          <w:sz w:val="21"/>
        </w:rPr>
        <w:t xml:space="preserve">the </w:t>
      </w:r>
      <w:r w:rsidRPr="00C735D8">
        <w:rPr>
          <w:rFonts w:ascii="Times New Roman"/>
          <w:kern w:val="0"/>
          <w:sz w:val="21"/>
        </w:rPr>
        <w:t xml:space="preserve">OE portfolio to build </w:t>
      </w:r>
      <w:r w:rsidR="00AD6366">
        <w:rPr>
          <w:rFonts w:ascii="Times New Roman"/>
          <w:kern w:val="0"/>
          <w:sz w:val="21"/>
        </w:rPr>
        <w:t xml:space="preserve">a </w:t>
      </w:r>
      <w:r w:rsidRPr="00C735D8">
        <w:rPr>
          <w:rFonts w:ascii="Times New Roman"/>
          <w:kern w:val="0"/>
          <w:sz w:val="21"/>
        </w:rPr>
        <w:t>stable earning structure</w:t>
      </w:r>
      <w:r w:rsidR="00AD6366">
        <w:rPr>
          <w:rFonts w:ascii="Times New Roman"/>
          <w:kern w:val="0"/>
          <w:sz w:val="21"/>
        </w:rPr>
        <w:t xml:space="preserve">. Hankook will also </w:t>
      </w:r>
      <w:r w:rsidRPr="00C735D8">
        <w:rPr>
          <w:rFonts w:ascii="Times New Roman"/>
          <w:kern w:val="0"/>
          <w:sz w:val="21"/>
        </w:rPr>
        <w:t>optimi</w:t>
      </w:r>
      <w:r w:rsidR="0025619D">
        <w:rPr>
          <w:rFonts w:ascii="Times New Roman"/>
          <w:kern w:val="0"/>
          <w:sz w:val="21"/>
        </w:rPr>
        <w:t>s</w:t>
      </w:r>
      <w:r w:rsidRPr="00C735D8">
        <w:rPr>
          <w:rFonts w:ascii="Times New Roman"/>
          <w:kern w:val="0"/>
          <w:sz w:val="21"/>
        </w:rPr>
        <w:t>e each regional distribution strategy.</w:t>
      </w:r>
    </w:p>
    <w:p w:rsidR="00B749EB" w:rsidRDefault="00B749EB" w:rsidP="00C764D7">
      <w:pPr>
        <w:tabs>
          <w:tab w:val="left" w:pos="142"/>
        </w:tabs>
        <w:wordWrap/>
        <w:rPr>
          <w:rFonts w:ascii="Times New Roman" w:eastAsia="Times New Roman"/>
          <w:kern w:val="0"/>
          <w:sz w:val="21"/>
          <w:szCs w:val="21"/>
        </w:rPr>
      </w:pPr>
    </w:p>
    <w:p w:rsidR="00B749EB" w:rsidRDefault="00B749EB" w:rsidP="00C764D7">
      <w:pPr>
        <w:tabs>
          <w:tab w:val="left" w:pos="142"/>
        </w:tabs>
        <w:wordWrap/>
        <w:rPr>
          <w:rFonts w:ascii="Times New Roman" w:eastAsia="Times New Roman"/>
          <w:kern w:val="0"/>
          <w:sz w:val="21"/>
          <w:szCs w:val="21"/>
        </w:rPr>
      </w:pPr>
    </w:p>
    <w:p w:rsidR="00C764D7" w:rsidRPr="00F31AEC" w:rsidRDefault="00C764D7" w:rsidP="00C764D7">
      <w:pPr>
        <w:tabs>
          <w:tab w:val="left" w:pos="142"/>
        </w:tabs>
        <w:wordWrap/>
        <w:rPr>
          <w:rFonts w:ascii="Times New Roman" w:eastAsia="Times New Roman"/>
          <w:kern w:val="0"/>
          <w:sz w:val="21"/>
          <w:szCs w:val="21"/>
        </w:rPr>
      </w:pPr>
    </w:p>
    <w:p w:rsidR="00C764D7" w:rsidRPr="00A731B2" w:rsidRDefault="00C764D7" w:rsidP="00C764D7">
      <w:pPr>
        <w:tabs>
          <w:tab w:val="left" w:pos="142"/>
        </w:tabs>
        <w:wordWrap/>
        <w:jc w:val="center"/>
        <w:rPr>
          <w:rFonts w:ascii="Times New Roman" w:eastAsia="Times New Roman"/>
          <w:kern w:val="0"/>
          <w:sz w:val="21"/>
          <w:szCs w:val="21"/>
        </w:rPr>
      </w:pPr>
      <w:r>
        <w:rPr>
          <w:rFonts w:ascii="Times New Roman"/>
          <w:kern w:val="0"/>
          <w:sz w:val="21"/>
        </w:rPr>
        <w:t>###</w:t>
      </w:r>
    </w:p>
    <w:p w:rsidR="00C735D8" w:rsidRDefault="00C735D8" w:rsidP="00C764D7">
      <w:pPr>
        <w:widowControl/>
        <w:wordWrap/>
        <w:autoSpaceDE/>
        <w:autoSpaceDN/>
        <w:spacing w:after="200" w:line="276" w:lineRule="auto"/>
        <w:jc w:val="left"/>
        <w:rPr>
          <w:rFonts w:ascii="Times New Roman" w:eastAsia="Calibri"/>
          <w:b/>
          <w:bCs/>
          <w:kern w:val="0"/>
          <w:sz w:val="21"/>
          <w:szCs w:val="21"/>
        </w:rPr>
      </w:pPr>
      <w:r>
        <w:rPr>
          <w:rFonts w:ascii="Times New Roman" w:eastAsia="Calibri"/>
          <w:b/>
          <w:bCs/>
          <w:kern w:val="0"/>
          <w:sz w:val="21"/>
          <w:szCs w:val="21"/>
        </w:rPr>
        <w:br w:type="page"/>
      </w:r>
    </w:p>
    <w:p w:rsidR="00C735D8" w:rsidRPr="00C735D8" w:rsidRDefault="00C735D8" w:rsidP="00C735D8">
      <w:pPr>
        <w:wordWrap/>
        <w:snapToGrid w:val="0"/>
        <w:ind w:rightChars="56" w:right="112"/>
        <w:rPr>
          <w:rFonts w:ascii="Arial" w:hAnsi="Arial" w:cs="Arial"/>
          <w:b/>
          <w:kern w:val="0"/>
          <w:sz w:val="22"/>
          <w:szCs w:val="22"/>
        </w:rPr>
      </w:pPr>
      <w:r w:rsidRPr="00C735D8">
        <w:rPr>
          <w:rFonts w:ascii="Arial" w:hAnsi="Arial" w:cs="Arial"/>
          <w:b/>
          <w:kern w:val="0"/>
          <w:sz w:val="22"/>
          <w:szCs w:val="22"/>
        </w:rPr>
        <w:lastRenderedPageBreak/>
        <w:t>Q4 2017 Consolidated Financial Result</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735D8" w:rsidRPr="00C735D8" w:rsidTr="009019C2">
        <w:trPr>
          <w:trHeight w:val="362"/>
        </w:trPr>
        <w:tc>
          <w:tcPr>
            <w:tcW w:w="2587" w:type="dxa"/>
            <w:tcBorders>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(Unit: Billion KRW)</w:t>
            </w:r>
          </w:p>
        </w:tc>
        <w:tc>
          <w:tcPr>
            <w:tcW w:w="2587" w:type="dxa"/>
            <w:tcBorders>
              <w:bottom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2016</w:t>
            </w:r>
          </w:p>
        </w:tc>
        <w:tc>
          <w:tcPr>
            <w:tcW w:w="2587" w:type="dxa"/>
            <w:tcBorders>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Q3 FY 2017</w:t>
            </w:r>
          </w:p>
        </w:tc>
        <w:tc>
          <w:tcPr>
            <w:tcW w:w="2587" w:type="dxa"/>
            <w:tcBorders>
              <w:bottom w:val="double" w:sz="4" w:space="0" w:color="auto"/>
              <w:right w:val="nil"/>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2017</w:t>
            </w:r>
          </w:p>
        </w:tc>
      </w:tr>
      <w:tr w:rsidR="00C735D8" w:rsidRPr="00C735D8" w:rsidTr="009019C2">
        <w:trPr>
          <w:trHeight w:val="362"/>
        </w:trPr>
        <w:tc>
          <w:tcPr>
            <w:tcW w:w="2587" w:type="dxa"/>
            <w:tcBorders>
              <w:top w:val="double" w:sz="4" w:space="0" w:color="auto"/>
              <w:right w:val="double" w:sz="4" w:space="0" w:color="auto"/>
            </w:tcBorders>
            <w:vAlign w:val="center"/>
          </w:tcPr>
          <w:p w:rsidR="00C735D8" w:rsidRPr="00C735D8" w:rsidRDefault="00C735D8" w:rsidP="009019C2">
            <w:pPr>
              <w:wordWrap/>
              <w:snapToGrid w:val="0"/>
              <w:ind w:rightChars="56" w:right="112"/>
              <w:jc w:val="center"/>
              <w:rPr>
                <w:rFonts w:ascii="Arial" w:hAnsi="Arial" w:cs="Arial"/>
                <w:b/>
                <w:color w:val="000000" w:themeColor="text1"/>
                <w:kern w:val="0"/>
                <w:sz w:val="22"/>
                <w:szCs w:val="22"/>
              </w:rPr>
            </w:pPr>
            <w:r w:rsidRPr="00C735D8">
              <w:rPr>
                <w:rFonts w:ascii="Arial" w:hAnsi="Arial" w:cs="Arial"/>
                <w:b/>
                <w:color w:val="000000" w:themeColor="text1"/>
                <w:kern w:val="0"/>
                <w:sz w:val="22"/>
                <w:szCs w:val="22"/>
              </w:rPr>
              <w:t>Sales</w:t>
            </w:r>
          </w:p>
        </w:tc>
        <w:tc>
          <w:tcPr>
            <w:tcW w:w="2587" w:type="dxa"/>
            <w:tcBorders>
              <w:top w:val="double" w:sz="4" w:space="0" w:color="auto"/>
            </w:tcBorders>
          </w:tcPr>
          <w:p w:rsidR="00C735D8" w:rsidRPr="00C735D8" w:rsidRDefault="00C735D8" w:rsidP="009019C2">
            <w:pPr>
              <w:jc w:val="center"/>
              <w:rPr>
                <w:rFonts w:ascii="Arial" w:hAnsi="Arial" w:cs="Arial"/>
                <w:b/>
                <w:color w:val="000000" w:themeColor="text1"/>
                <w:sz w:val="22"/>
                <w:szCs w:val="22"/>
              </w:rPr>
            </w:pPr>
            <w:r w:rsidRPr="00C735D8">
              <w:rPr>
                <w:rFonts w:ascii="Arial" w:hAnsi="Arial" w:cs="Arial"/>
                <w:b/>
                <w:color w:val="000000" w:themeColor="text1"/>
                <w:sz w:val="22"/>
                <w:szCs w:val="22"/>
              </w:rPr>
              <w:t>1,610.6</w:t>
            </w:r>
          </w:p>
        </w:tc>
        <w:tc>
          <w:tcPr>
            <w:tcW w:w="2587" w:type="dxa"/>
            <w:tcBorders>
              <w:top w:val="double" w:sz="4" w:space="0" w:color="auto"/>
              <w:right w:val="double" w:sz="4" w:space="0" w:color="auto"/>
            </w:tcBorders>
            <w:shd w:val="clear" w:color="auto" w:fill="auto"/>
          </w:tcPr>
          <w:p w:rsidR="00C735D8" w:rsidRPr="00C735D8" w:rsidRDefault="00C735D8" w:rsidP="009019C2">
            <w:pPr>
              <w:jc w:val="center"/>
              <w:rPr>
                <w:rFonts w:ascii="Arial" w:hAnsi="Arial" w:cs="Arial"/>
                <w:b/>
                <w:color w:val="000000" w:themeColor="text1"/>
                <w:sz w:val="22"/>
                <w:szCs w:val="22"/>
              </w:rPr>
            </w:pPr>
            <w:r w:rsidRPr="00C735D8">
              <w:rPr>
                <w:rFonts w:ascii="Arial" w:hAnsi="Arial" w:cs="Arial"/>
                <w:b/>
                <w:color w:val="000000" w:themeColor="text1"/>
                <w:sz w:val="22"/>
                <w:szCs w:val="22"/>
              </w:rPr>
              <w:t>1,824.5</w:t>
            </w:r>
          </w:p>
        </w:tc>
        <w:tc>
          <w:tcPr>
            <w:tcW w:w="2587" w:type="dxa"/>
            <w:tcBorders>
              <w:top w:val="double" w:sz="4" w:space="0" w:color="auto"/>
              <w:right w:val="nil"/>
            </w:tcBorders>
            <w:vAlign w:val="center"/>
          </w:tcPr>
          <w:p w:rsidR="00C735D8" w:rsidRPr="00C735D8" w:rsidRDefault="00C735D8" w:rsidP="009019C2">
            <w:pPr>
              <w:jc w:val="center"/>
              <w:rPr>
                <w:rFonts w:ascii="Arial" w:hAnsi="Arial" w:cs="Arial"/>
                <w:b/>
                <w:color w:val="000000" w:themeColor="text1"/>
                <w:sz w:val="22"/>
                <w:szCs w:val="22"/>
              </w:rPr>
            </w:pPr>
            <w:r w:rsidRPr="00C735D8">
              <w:rPr>
                <w:rFonts w:ascii="Arial" w:hAnsi="Arial" w:cs="Arial"/>
                <w:b/>
                <w:color w:val="000000" w:themeColor="text1"/>
                <w:sz w:val="22"/>
                <w:szCs w:val="22"/>
              </w:rPr>
              <w:t>1,682.8</w:t>
            </w:r>
          </w:p>
        </w:tc>
      </w:tr>
      <w:tr w:rsidR="00C735D8" w:rsidRPr="00C735D8" w:rsidTr="009019C2">
        <w:trPr>
          <w:trHeight w:val="362"/>
        </w:trPr>
        <w:tc>
          <w:tcPr>
            <w:tcW w:w="2587" w:type="dxa"/>
            <w:tcBorders>
              <w:right w:val="double" w:sz="4" w:space="0" w:color="auto"/>
            </w:tcBorders>
            <w:vAlign w:val="center"/>
          </w:tcPr>
          <w:p w:rsidR="00C735D8" w:rsidRPr="00C735D8" w:rsidRDefault="00C735D8" w:rsidP="009019C2">
            <w:pPr>
              <w:wordWrap/>
              <w:snapToGrid w:val="0"/>
              <w:ind w:rightChars="56" w:right="112"/>
              <w:jc w:val="center"/>
              <w:rPr>
                <w:rFonts w:ascii="Arial" w:hAnsi="Arial" w:cs="Arial"/>
                <w:b/>
                <w:color w:val="000000" w:themeColor="text1"/>
                <w:kern w:val="0"/>
                <w:sz w:val="22"/>
                <w:szCs w:val="22"/>
              </w:rPr>
            </w:pPr>
            <w:r w:rsidRPr="00C735D8">
              <w:rPr>
                <w:rFonts w:ascii="Arial" w:hAnsi="Arial" w:cs="Arial"/>
                <w:b/>
                <w:color w:val="000000" w:themeColor="text1"/>
                <w:kern w:val="0"/>
                <w:sz w:val="22"/>
                <w:szCs w:val="22"/>
              </w:rPr>
              <w:t>Operating Profit</w:t>
            </w:r>
          </w:p>
        </w:tc>
        <w:tc>
          <w:tcPr>
            <w:tcW w:w="2587" w:type="dxa"/>
          </w:tcPr>
          <w:p w:rsidR="00C735D8" w:rsidRPr="00C735D8" w:rsidRDefault="00C735D8" w:rsidP="009019C2">
            <w:pPr>
              <w:jc w:val="center"/>
              <w:rPr>
                <w:rFonts w:ascii="Arial" w:hAnsi="Arial" w:cs="Arial"/>
                <w:b/>
                <w:color w:val="000000" w:themeColor="text1"/>
                <w:sz w:val="22"/>
                <w:szCs w:val="22"/>
              </w:rPr>
            </w:pPr>
            <w:r w:rsidRPr="00C735D8">
              <w:rPr>
                <w:rFonts w:ascii="Arial" w:hAnsi="Arial" w:cs="Arial"/>
                <w:b/>
                <w:color w:val="000000" w:themeColor="text1"/>
                <w:sz w:val="22"/>
                <w:szCs w:val="22"/>
              </w:rPr>
              <w:t>239.2</w:t>
            </w:r>
          </w:p>
        </w:tc>
        <w:tc>
          <w:tcPr>
            <w:tcW w:w="2587" w:type="dxa"/>
            <w:tcBorders>
              <w:right w:val="double" w:sz="4" w:space="0" w:color="auto"/>
            </w:tcBorders>
            <w:shd w:val="clear" w:color="auto" w:fill="auto"/>
          </w:tcPr>
          <w:p w:rsidR="00C735D8" w:rsidRPr="00C735D8" w:rsidRDefault="00C735D8" w:rsidP="009019C2">
            <w:pPr>
              <w:jc w:val="center"/>
              <w:rPr>
                <w:rFonts w:ascii="Arial" w:hAnsi="Arial" w:cs="Arial"/>
                <w:b/>
                <w:color w:val="000000" w:themeColor="text1"/>
                <w:sz w:val="22"/>
                <w:szCs w:val="22"/>
              </w:rPr>
            </w:pPr>
            <w:r w:rsidRPr="00C735D8">
              <w:rPr>
                <w:rFonts w:ascii="Arial" w:hAnsi="Arial" w:cs="Arial"/>
                <w:b/>
                <w:color w:val="000000" w:themeColor="text1"/>
                <w:sz w:val="22"/>
                <w:szCs w:val="22"/>
              </w:rPr>
              <w:t>217.1</w:t>
            </w:r>
          </w:p>
        </w:tc>
        <w:tc>
          <w:tcPr>
            <w:tcW w:w="2587" w:type="dxa"/>
            <w:tcBorders>
              <w:right w:val="nil"/>
            </w:tcBorders>
            <w:vAlign w:val="center"/>
          </w:tcPr>
          <w:p w:rsidR="00C735D8" w:rsidRPr="00C735D8" w:rsidRDefault="00C735D8" w:rsidP="009019C2">
            <w:pPr>
              <w:jc w:val="center"/>
              <w:rPr>
                <w:rFonts w:ascii="Arial" w:hAnsi="Arial" w:cs="Arial"/>
                <w:b/>
                <w:color w:val="000000" w:themeColor="text1"/>
                <w:sz w:val="22"/>
                <w:szCs w:val="22"/>
              </w:rPr>
            </w:pPr>
            <w:r w:rsidRPr="00C735D8">
              <w:rPr>
                <w:rFonts w:ascii="Arial" w:hAnsi="Arial" w:cs="Arial"/>
                <w:b/>
                <w:color w:val="000000" w:themeColor="text1"/>
                <w:sz w:val="22"/>
                <w:szCs w:val="22"/>
              </w:rPr>
              <w:t>139.7</w:t>
            </w:r>
          </w:p>
        </w:tc>
      </w:tr>
    </w:tbl>
    <w:p w:rsidR="00C735D8" w:rsidRPr="00C735D8" w:rsidRDefault="00C735D8" w:rsidP="00C735D8">
      <w:pPr>
        <w:rPr>
          <w:rFonts w:ascii="Arial" w:hAnsi="Arial" w:cs="Arial"/>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735D8" w:rsidRPr="00C735D8" w:rsidTr="009019C2">
        <w:trPr>
          <w:trHeight w:val="363"/>
        </w:trPr>
        <w:tc>
          <w:tcPr>
            <w:tcW w:w="2587" w:type="dxa"/>
            <w:tcBorders>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2016</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Q3 FY 2017</w:t>
            </w:r>
          </w:p>
        </w:tc>
        <w:tc>
          <w:tcPr>
            <w:tcW w:w="2587" w:type="dxa"/>
            <w:tcBorders>
              <w:left w:val="double" w:sz="4" w:space="0" w:color="auto"/>
              <w:bottom w:val="double" w:sz="4" w:space="0" w:color="auto"/>
              <w:right w:val="nil"/>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color w:val="FFFFFF" w:themeColor="background1"/>
                <w:kern w:val="0"/>
                <w:sz w:val="22"/>
                <w:szCs w:val="22"/>
              </w:rPr>
            </w:pPr>
            <w:r w:rsidRPr="00C735D8">
              <w:rPr>
                <w:rFonts w:ascii="Arial" w:hAnsi="Arial" w:cs="Arial"/>
                <w:b/>
                <w:color w:val="FFFFFF" w:themeColor="background1"/>
                <w:kern w:val="0"/>
                <w:sz w:val="22"/>
                <w:szCs w:val="22"/>
              </w:rPr>
              <w:t>Q4 FY 2017</w:t>
            </w:r>
          </w:p>
        </w:tc>
      </w:tr>
      <w:tr w:rsidR="00C735D8" w:rsidRPr="00C735D8" w:rsidTr="009019C2">
        <w:trPr>
          <w:trHeight w:val="363"/>
        </w:trPr>
        <w:tc>
          <w:tcPr>
            <w:tcW w:w="2587" w:type="dxa"/>
            <w:tcBorders>
              <w:top w:val="double" w:sz="4" w:space="0" w:color="auto"/>
              <w:bottom w:val="single" w:sz="4" w:space="0" w:color="auto"/>
              <w:right w:val="double" w:sz="4" w:space="0" w:color="auto"/>
            </w:tcBorders>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shd w:val="clear" w:color="auto" w:fill="auto"/>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1,391.6</w:t>
            </w:r>
          </w:p>
        </w:tc>
        <w:tc>
          <w:tcPr>
            <w:tcW w:w="2587" w:type="dxa"/>
            <w:tcBorders>
              <w:top w:val="double" w:sz="4" w:space="0" w:color="auto"/>
              <w:left w:val="double" w:sz="4" w:space="0" w:color="auto"/>
              <w:bottom w:val="single" w:sz="4" w:space="0" w:color="auto"/>
              <w:right w:val="double" w:sz="4" w:space="0" w:color="auto"/>
            </w:tcBorders>
            <w:vAlign w:val="center"/>
          </w:tcPr>
          <w:p w:rsidR="00C735D8" w:rsidRPr="00C735D8" w:rsidRDefault="00C735D8" w:rsidP="009019C2">
            <w:pPr>
              <w:jc w:val="center"/>
              <w:rPr>
                <w:rFonts w:ascii="Arial" w:hAnsi="Arial" w:cs="Arial"/>
                <w:b/>
                <w:sz w:val="22"/>
                <w:szCs w:val="22"/>
              </w:rPr>
            </w:pPr>
            <w:r w:rsidRPr="00C735D8">
              <w:rPr>
                <w:rFonts w:ascii="Arial" w:eastAsia="Malgun Gothic" w:hAnsi="Arial" w:cs="Arial"/>
                <w:b/>
                <w:bCs/>
                <w:sz w:val="22"/>
                <w:szCs w:val="22"/>
              </w:rPr>
              <w:t>1611.41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tcPr>
          <w:p w:rsidR="00C735D8" w:rsidRPr="00C735D8" w:rsidRDefault="00C735D8" w:rsidP="009019C2">
            <w:pPr>
              <w:jc w:val="center"/>
              <w:rPr>
                <w:rFonts w:ascii="Arial" w:hAnsi="Arial" w:cs="Arial"/>
                <w:b/>
                <w:sz w:val="22"/>
                <w:szCs w:val="22"/>
              </w:rPr>
            </w:pPr>
            <w:r w:rsidRPr="00C735D8">
              <w:rPr>
                <w:rFonts w:ascii="Arial" w:eastAsia="Malgun Gothic" w:hAnsi="Arial" w:cs="Arial"/>
                <w:b/>
                <w:bCs/>
                <w:sz w:val="22"/>
                <w:szCs w:val="22"/>
              </w:rPr>
              <w:t>1521.90</w:t>
            </w:r>
          </w:p>
        </w:tc>
      </w:tr>
      <w:tr w:rsidR="00C735D8" w:rsidRPr="00C735D8" w:rsidTr="009019C2">
        <w:trPr>
          <w:trHeight w:val="363"/>
        </w:trPr>
        <w:tc>
          <w:tcPr>
            <w:tcW w:w="2587" w:type="dxa"/>
            <w:tcBorders>
              <w:bottom w:val="single" w:sz="4" w:space="0" w:color="auto"/>
              <w:right w:val="double" w:sz="4" w:space="0" w:color="auto"/>
            </w:tcBorders>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Operating Profit</w:t>
            </w:r>
          </w:p>
        </w:tc>
        <w:tc>
          <w:tcPr>
            <w:tcW w:w="2587" w:type="dxa"/>
            <w:tcBorders>
              <w:left w:val="double" w:sz="4" w:space="0" w:color="auto"/>
              <w:bottom w:val="single" w:sz="4" w:space="0" w:color="auto"/>
              <w:right w:val="double" w:sz="4" w:space="0" w:color="auto"/>
            </w:tcBorders>
            <w:shd w:val="clear" w:color="auto" w:fill="auto"/>
          </w:tcPr>
          <w:p w:rsidR="00C735D8" w:rsidRPr="00C735D8" w:rsidRDefault="00C735D8" w:rsidP="009019C2">
            <w:pPr>
              <w:jc w:val="center"/>
              <w:rPr>
                <w:rFonts w:ascii="Arial" w:hAnsi="Arial" w:cs="Arial"/>
                <w:b/>
                <w:kern w:val="0"/>
                <w:sz w:val="22"/>
                <w:szCs w:val="22"/>
              </w:rPr>
            </w:pPr>
            <w:r w:rsidRPr="00C735D8">
              <w:rPr>
                <w:rFonts w:ascii="Arial" w:hAnsi="Arial" w:cs="Arial"/>
                <w:b/>
                <w:kern w:val="0"/>
                <w:sz w:val="22"/>
                <w:szCs w:val="22"/>
              </w:rPr>
              <w:t>206.6</w:t>
            </w:r>
          </w:p>
        </w:tc>
        <w:tc>
          <w:tcPr>
            <w:tcW w:w="2587" w:type="dxa"/>
            <w:tcBorders>
              <w:left w:val="double" w:sz="4" w:space="0" w:color="auto"/>
              <w:bottom w:val="single" w:sz="4" w:space="0" w:color="auto"/>
              <w:right w:val="double" w:sz="4" w:space="0" w:color="auto"/>
            </w:tcBorders>
            <w:vAlign w:val="center"/>
          </w:tcPr>
          <w:p w:rsidR="00C735D8" w:rsidRPr="00C735D8" w:rsidRDefault="00C735D8" w:rsidP="009019C2">
            <w:pPr>
              <w:jc w:val="center"/>
              <w:rPr>
                <w:rFonts w:ascii="Arial" w:hAnsi="Arial" w:cs="Arial"/>
                <w:b/>
                <w:sz w:val="22"/>
                <w:szCs w:val="22"/>
              </w:rPr>
            </w:pPr>
            <w:r w:rsidRPr="00C735D8">
              <w:rPr>
                <w:rFonts w:ascii="Arial" w:eastAsia="Malgun Gothic" w:hAnsi="Arial" w:cs="Arial"/>
                <w:b/>
                <w:bCs/>
                <w:sz w:val="22"/>
                <w:szCs w:val="22"/>
              </w:rPr>
              <w:t>191.7</w:t>
            </w:r>
          </w:p>
        </w:tc>
        <w:tc>
          <w:tcPr>
            <w:tcW w:w="2587" w:type="dxa"/>
            <w:tcBorders>
              <w:left w:val="double" w:sz="4" w:space="0" w:color="auto"/>
              <w:bottom w:val="single" w:sz="4" w:space="0" w:color="auto"/>
              <w:right w:val="nil"/>
            </w:tcBorders>
            <w:shd w:val="clear" w:color="auto" w:fill="FFFFFF" w:themeFill="background1"/>
            <w:vAlign w:val="center"/>
          </w:tcPr>
          <w:p w:rsidR="00C735D8" w:rsidRPr="00C735D8" w:rsidRDefault="00C735D8" w:rsidP="009019C2">
            <w:pPr>
              <w:jc w:val="center"/>
              <w:rPr>
                <w:rFonts w:ascii="Arial" w:hAnsi="Arial" w:cs="Arial"/>
                <w:b/>
                <w:kern w:val="0"/>
                <w:sz w:val="22"/>
                <w:szCs w:val="22"/>
              </w:rPr>
            </w:pPr>
            <w:r w:rsidRPr="00C735D8">
              <w:rPr>
                <w:rFonts w:ascii="Arial" w:eastAsia="Malgun Gothic" w:hAnsi="Arial" w:cs="Arial"/>
                <w:b/>
                <w:bCs/>
                <w:sz w:val="22"/>
                <w:szCs w:val="22"/>
              </w:rPr>
              <w:t>126.3</w:t>
            </w:r>
          </w:p>
        </w:tc>
      </w:tr>
    </w:tbl>
    <w:p w:rsidR="00C735D8" w:rsidRPr="00C735D8" w:rsidRDefault="00C735D8" w:rsidP="00C735D8">
      <w:pPr>
        <w:rPr>
          <w:rFonts w:ascii="Arial" w:hAnsi="Arial" w:cs="Arial"/>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735D8" w:rsidRPr="00C735D8" w:rsidTr="009019C2">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2016</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Q3 FY 2017</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2017</w:t>
            </w:r>
          </w:p>
        </w:tc>
      </w:tr>
      <w:tr w:rsidR="00C735D8" w:rsidRPr="00C735D8" w:rsidTr="009019C2">
        <w:trPr>
          <w:trHeight w:val="363"/>
        </w:trPr>
        <w:tc>
          <w:tcPr>
            <w:tcW w:w="2587" w:type="dxa"/>
            <w:tcBorders>
              <w:top w:val="double" w:sz="4" w:space="0" w:color="auto"/>
              <w:right w:val="double" w:sz="4" w:space="0" w:color="auto"/>
            </w:tcBorders>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Sales</w:t>
            </w:r>
          </w:p>
        </w:tc>
        <w:tc>
          <w:tcPr>
            <w:tcW w:w="2587" w:type="dxa"/>
            <w:tcBorders>
              <w:top w:val="double" w:sz="4" w:space="0" w:color="auto"/>
              <w:left w:val="double" w:sz="4" w:space="0" w:color="auto"/>
              <w:right w:val="double" w:sz="4" w:space="0" w:color="auto"/>
            </w:tcBorders>
            <w:shd w:val="clear" w:color="auto" w:fill="auto"/>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1,291.5</w:t>
            </w:r>
          </w:p>
        </w:tc>
        <w:tc>
          <w:tcPr>
            <w:tcW w:w="2587" w:type="dxa"/>
            <w:tcBorders>
              <w:top w:val="double" w:sz="4" w:space="0" w:color="auto"/>
              <w:left w:val="double" w:sz="4" w:space="0" w:color="auto"/>
              <w:right w:val="double" w:sz="4" w:space="0" w:color="auto"/>
            </w:tcBorders>
            <w:vAlign w:val="center"/>
          </w:tcPr>
          <w:p w:rsidR="00C735D8" w:rsidRPr="00C735D8" w:rsidRDefault="00C735D8" w:rsidP="009019C2">
            <w:pPr>
              <w:jc w:val="center"/>
              <w:rPr>
                <w:rFonts w:ascii="Arial" w:hAnsi="Arial" w:cs="Arial"/>
                <w:b/>
                <w:sz w:val="22"/>
                <w:szCs w:val="22"/>
              </w:rPr>
            </w:pPr>
            <w:r w:rsidRPr="00C735D8">
              <w:rPr>
                <w:rFonts w:ascii="Arial" w:eastAsia="Malgun Gothic" w:hAnsi="Arial" w:cs="Arial"/>
                <w:b/>
                <w:bCs/>
                <w:sz w:val="22"/>
                <w:szCs w:val="22"/>
              </w:rPr>
              <w:t>1371.60</w:t>
            </w:r>
          </w:p>
        </w:tc>
        <w:tc>
          <w:tcPr>
            <w:tcW w:w="2587" w:type="dxa"/>
            <w:tcBorders>
              <w:top w:val="double" w:sz="4" w:space="0" w:color="auto"/>
              <w:left w:val="double" w:sz="4" w:space="0" w:color="auto"/>
              <w:right w:val="nil"/>
            </w:tcBorders>
            <w:shd w:val="clear" w:color="auto" w:fill="FFFFFF" w:themeFill="background1"/>
            <w:vAlign w:val="center"/>
          </w:tcPr>
          <w:p w:rsidR="00C735D8" w:rsidRPr="00C735D8" w:rsidRDefault="00C735D8" w:rsidP="009019C2">
            <w:pPr>
              <w:jc w:val="center"/>
              <w:rPr>
                <w:rFonts w:ascii="Arial" w:hAnsi="Arial" w:cs="Arial"/>
                <w:b/>
                <w:sz w:val="22"/>
                <w:szCs w:val="22"/>
              </w:rPr>
            </w:pPr>
            <w:r w:rsidRPr="00C735D8">
              <w:rPr>
                <w:rFonts w:ascii="Arial" w:eastAsia="Malgun Gothic" w:hAnsi="Arial" w:cs="Arial"/>
                <w:b/>
                <w:bCs/>
                <w:sz w:val="22"/>
                <w:szCs w:val="22"/>
              </w:rPr>
              <w:t>1292.66</w:t>
            </w:r>
          </w:p>
        </w:tc>
      </w:tr>
      <w:tr w:rsidR="00C735D8" w:rsidRPr="00C735D8" w:rsidTr="009019C2">
        <w:trPr>
          <w:trHeight w:val="363"/>
        </w:trPr>
        <w:tc>
          <w:tcPr>
            <w:tcW w:w="2587" w:type="dxa"/>
            <w:tcBorders>
              <w:right w:val="double" w:sz="4" w:space="0" w:color="auto"/>
            </w:tcBorders>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Operating Profit</w:t>
            </w:r>
          </w:p>
        </w:tc>
        <w:tc>
          <w:tcPr>
            <w:tcW w:w="2587" w:type="dxa"/>
            <w:tcBorders>
              <w:left w:val="double" w:sz="4" w:space="0" w:color="auto"/>
              <w:right w:val="double" w:sz="4" w:space="0" w:color="auto"/>
            </w:tcBorders>
            <w:shd w:val="clear" w:color="auto" w:fill="auto"/>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191.8</w:t>
            </w:r>
          </w:p>
        </w:tc>
        <w:tc>
          <w:tcPr>
            <w:tcW w:w="2587" w:type="dxa"/>
            <w:tcBorders>
              <w:left w:val="double" w:sz="4" w:space="0" w:color="auto"/>
              <w:right w:val="double" w:sz="4" w:space="0" w:color="auto"/>
            </w:tcBorders>
            <w:vAlign w:val="center"/>
          </w:tcPr>
          <w:p w:rsidR="00C735D8" w:rsidRPr="00C735D8" w:rsidRDefault="00C735D8" w:rsidP="009019C2">
            <w:pPr>
              <w:jc w:val="center"/>
              <w:rPr>
                <w:rFonts w:ascii="Arial" w:hAnsi="Arial" w:cs="Arial"/>
                <w:b/>
                <w:sz w:val="22"/>
                <w:szCs w:val="22"/>
              </w:rPr>
            </w:pPr>
            <w:r w:rsidRPr="00C735D8">
              <w:rPr>
                <w:rFonts w:ascii="Arial" w:eastAsia="Malgun Gothic" w:hAnsi="Arial" w:cs="Arial"/>
                <w:b/>
                <w:bCs/>
                <w:sz w:val="22"/>
                <w:szCs w:val="22"/>
              </w:rPr>
              <w:t>163.2</w:t>
            </w:r>
          </w:p>
        </w:tc>
        <w:tc>
          <w:tcPr>
            <w:tcW w:w="2587" w:type="dxa"/>
            <w:tcBorders>
              <w:left w:val="double" w:sz="4" w:space="0" w:color="auto"/>
              <w:right w:val="nil"/>
            </w:tcBorders>
            <w:shd w:val="clear" w:color="auto" w:fill="FFFFFF" w:themeFill="background1"/>
            <w:vAlign w:val="center"/>
          </w:tcPr>
          <w:p w:rsidR="00C735D8" w:rsidRPr="00C735D8" w:rsidRDefault="00C735D8" w:rsidP="009019C2">
            <w:pPr>
              <w:jc w:val="center"/>
              <w:rPr>
                <w:rFonts w:ascii="Arial" w:hAnsi="Arial" w:cs="Arial"/>
                <w:b/>
                <w:sz w:val="22"/>
                <w:szCs w:val="22"/>
              </w:rPr>
            </w:pPr>
            <w:r w:rsidRPr="00C735D8">
              <w:rPr>
                <w:rFonts w:ascii="Arial" w:eastAsia="Malgun Gothic" w:hAnsi="Arial" w:cs="Arial"/>
                <w:b/>
                <w:bCs/>
                <w:sz w:val="22"/>
                <w:szCs w:val="22"/>
              </w:rPr>
              <w:t>107.3</w:t>
            </w:r>
          </w:p>
        </w:tc>
      </w:tr>
    </w:tbl>
    <w:p w:rsidR="00C735D8" w:rsidRPr="00C735D8" w:rsidRDefault="00C735D8" w:rsidP="00C735D8">
      <w:pPr>
        <w:wordWrap/>
        <w:snapToGrid w:val="0"/>
        <w:ind w:leftChars="71" w:left="142" w:rightChars="56" w:right="112"/>
        <w:rPr>
          <w:rFonts w:ascii="Arial" w:hAnsi="Arial" w:cs="Arial"/>
          <w:kern w:val="0"/>
          <w:sz w:val="22"/>
          <w:szCs w:val="22"/>
        </w:rPr>
      </w:pPr>
    </w:p>
    <w:p w:rsidR="00C735D8" w:rsidRPr="00C735D8" w:rsidRDefault="00C735D8" w:rsidP="00C735D8">
      <w:pPr>
        <w:wordWrap/>
        <w:snapToGrid w:val="0"/>
        <w:ind w:leftChars="71" w:left="142" w:rightChars="56" w:right="112"/>
        <w:rPr>
          <w:rFonts w:ascii="Arial" w:hAnsi="Arial" w:cs="Arial"/>
          <w:b/>
          <w:i/>
          <w:kern w:val="0"/>
          <w:sz w:val="22"/>
          <w:szCs w:val="22"/>
        </w:rPr>
      </w:pPr>
      <w:r w:rsidRPr="00C735D8">
        <w:rPr>
          <w:rFonts w:ascii="Arial" w:hAnsi="Arial" w:cs="Arial"/>
          <w:b/>
          <w:i/>
          <w:kern w:val="0"/>
          <w:sz w:val="22"/>
          <w:szCs w:val="22"/>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735D8" w:rsidRPr="00C735D8" w:rsidTr="009019C2">
        <w:trPr>
          <w:trHeight w:val="363"/>
        </w:trPr>
        <w:tc>
          <w:tcPr>
            <w:tcW w:w="2587" w:type="dxa"/>
            <w:tcBorders>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2016</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Q3 FY 2017</w:t>
            </w:r>
          </w:p>
        </w:tc>
        <w:tc>
          <w:tcPr>
            <w:tcW w:w="2587" w:type="dxa"/>
            <w:tcBorders>
              <w:left w:val="double" w:sz="4" w:space="0" w:color="auto"/>
              <w:bottom w:val="double" w:sz="4" w:space="0" w:color="auto"/>
              <w:right w:val="nil"/>
            </w:tcBorders>
            <w:shd w:val="clear" w:color="auto" w:fill="7F7F7F" w:themeFill="text1" w:themeFillTint="80"/>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Q4 FY 2017</w:t>
            </w:r>
          </w:p>
        </w:tc>
      </w:tr>
      <w:tr w:rsidR="00C735D8" w:rsidRPr="00C735D8" w:rsidTr="009019C2">
        <w:trPr>
          <w:trHeight w:val="363"/>
        </w:trPr>
        <w:tc>
          <w:tcPr>
            <w:tcW w:w="2587" w:type="dxa"/>
            <w:tcBorders>
              <w:top w:val="double" w:sz="4" w:space="0" w:color="auto"/>
              <w:right w:val="double" w:sz="4" w:space="0" w:color="auto"/>
            </w:tcBorders>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USD / KRW</w:t>
            </w:r>
          </w:p>
        </w:tc>
        <w:tc>
          <w:tcPr>
            <w:tcW w:w="2587" w:type="dxa"/>
            <w:tcBorders>
              <w:top w:val="double" w:sz="4" w:space="0" w:color="auto"/>
              <w:right w:val="double" w:sz="4" w:space="0" w:color="auto"/>
            </w:tcBorders>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1,157.37</w:t>
            </w:r>
          </w:p>
        </w:tc>
        <w:tc>
          <w:tcPr>
            <w:tcW w:w="2587" w:type="dxa"/>
            <w:tcBorders>
              <w:top w:val="double" w:sz="4" w:space="0" w:color="auto"/>
              <w:left w:val="double" w:sz="4" w:space="0" w:color="auto"/>
              <w:right w:val="double" w:sz="4" w:space="0" w:color="auto"/>
            </w:tcBorders>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1,132.24</w:t>
            </w:r>
          </w:p>
        </w:tc>
        <w:tc>
          <w:tcPr>
            <w:tcW w:w="2587" w:type="dxa"/>
            <w:tcBorders>
              <w:top w:val="double" w:sz="4" w:space="0" w:color="auto"/>
              <w:left w:val="double" w:sz="4" w:space="0" w:color="auto"/>
              <w:right w:val="nil"/>
            </w:tcBorders>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1,105.72</w:t>
            </w:r>
          </w:p>
        </w:tc>
      </w:tr>
      <w:tr w:rsidR="00C735D8" w:rsidRPr="00C735D8" w:rsidTr="009019C2">
        <w:trPr>
          <w:trHeight w:val="363"/>
        </w:trPr>
        <w:tc>
          <w:tcPr>
            <w:tcW w:w="2587" w:type="dxa"/>
            <w:tcBorders>
              <w:right w:val="double" w:sz="4" w:space="0" w:color="auto"/>
            </w:tcBorders>
            <w:vAlign w:val="center"/>
          </w:tcPr>
          <w:p w:rsidR="00C735D8" w:rsidRPr="00C735D8" w:rsidRDefault="00C735D8" w:rsidP="009019C2">
            <w:pPr>
              <w:wordWrap/>
              <w:snapToGrid w:val="0"/>
              <w:ind w:rightChars="56" w:right="112"/>
              <w:jc w:val="center"/>
              <w:rPr>
                <w:rFonts w:ascii="Arial" w:hAnsi="Arial" w:cs="Arial"/>
                <w:b/>
                <w:kern w:val="0"/>
                <w:sz w:val="22"/>
                <w:szCs w:val="22"/>
              </w:rPr>
            </w:pPr>
            <w:r w:rsidRPr="00C735D8">
              <w:rPr>
                <w:rFonts w:ascii="Arial" w:hAnsi="Arial" w:cs="Arial"/>
                <w:b/>
                <w:kern w:val="0"/>
                <w:sz w:val="22"/>
                <w:szCs w:val="22"/>
              </w:rPr>
              <w:t>EUR / KRW</w:t>
            </w:r>
          </w:p>
        </w:tc>
        <w:tc>
          <w:tcPr>
            <w:tcW w:w="2587" w:type="dxa"/>
            <w:tcBorders>
              <w:right w:val="double" w:sz="4" w:space="0" w:color="auto"/>
            </w:tcBorders>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1,247.02</w:t>
            </w:r>
          </w:p>
        </w:tc>
        <w:tc>
          <w:tcPr>
            <w:tcW w:w="2587" w:type="dxa"/>
            <w:tcBorders>
              <w:left w:val="double" w:sz="4" w:space="0" w:color="auto"/>
              <w:right w:val="double" w:sz="4" w:space="0" w:color="auto"/>
            </w:tcBorders>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1,330.2</w:t>
            </w:r>
          </w:p>
        </w:tc>
        <w:tc>
          <w:tcPr>
            <w:tcW w:w="2587" w:type="dxa"/>
            <w:tcBorders>
              <w:left w:val="double" w:sz="4" w:space="0" w:color="auto"/>
              <w:right w:val="nil"/>
            </w:tcBorders>
          </w:tcPr>
          <w:p w:rsidR="00C735D8" w:rsidRPr="00C735D8" w:rsidRDefault="00C735D8" w:rsidP="009019C2">
            <w:pPr>
              <w:jc w:val="center"/>
              <w:rPr>
                <w:rFonts w:ascii="Arial" w:hAnsi="Arial" w:cs="Arial"/>
                <w:b/>
                <w:sz w:val="22"/>
                <w:szCs w:val="22"/>
              </w:rPr>
            </w:pPr>
            <w:r w:rsidRPr="00C735D8">
              <w:rPr>
                <w:rFonts w:ascii="Arial" w:hAnsi="Arial" w:cs="Arial"/>
                <w:b/>
                <w:sz w:val="22"/>
                <w:szCs w:val="22"/>
              </w:rPr>
              <w:t>1,301.81</w:t>
            </w:r>
          </w:p>
        </w:tc>
      </w:tr>
    </w:tbl>
    <w:p w:rsidR="00C735D8" w:rsidRPr="00C735D8" w:rsidRDefault="00C735D8" w:rsidP="00C735D8">
      <w:pPr>
        <w:widowControl/>
        <w:wordWrap/>
        <w:autoSpaceDE/>
        <w:autoSpaceDN/>
        <w:spacing w:line="207" w:lineRule="atLeast"/>
        <w:ind w:right="112"/>
        <w:jc w:val="left"/>
        <w:rPr>
          <w:rFonts w:ascii="Arial" w:eastAsia="Malgun Gothic" w:hAnsi="Arial" w:cs="Arial"/>
          <w:b/>
          <w:bCs/>
          <w:color w:val="000000" w:themeColor="text1"/>
          <w:kern w:val="0"/>
          <w:sz w:val="22"/>
          <w:szCs w:val="22"/>
          <w:shd w:val="clear" w:color="auto" w:fill="FFFFFF"/>
        </w:rPr>
      </w:pPr>
    </w:p>
    <w:p w:rsidR="00C735D8" w:rsidRPr="00C735D8" w:rsidRDefault="00C735D8" w:rsidP="00C735D8">
      <w:pPr>
        <w:widowControl/>
        <w:wordWrap/>
        <w:autoSpaceDE/>
        <w:autoSpaceDN/>
        <w:spacing w:line="207" w:lineRule="atLeast"/>
        <w:ind w:right="112"/>
        <w:jc w:val="left"/>
        <w:rPr>
          <w:rFonts w:ascii="Arial" w:eastAsia="Malgun Gothic" w:hAnsi="Arial" w:cs="Arial"/>
          <w:color w:val="000000" w:themeColor="text1"/>
          <w:kern w:val="0"/>
          <w:sz w:val="22"/>
          <w:szCs w:val="22"/>
          <w:shd w:val="clear" w:color="auto" w:fill="FFFFFF" w:themeFill="background1"/>
        </w:rPr>
      </w:pPr>
      <w:r w:rsidRPr="00C735D8">
        <w:rPr>
          <w:rFonts w:ascii="Arial" w:eastAsia="Malgun Gothic" w:hAnsi="Arial" w:cs="Arial"/>
          <w:b/>
          <w:bCs/>
          <w:color w:val="000000" w:themeColor="text1"/>
          <w:kern w:val="0"/>
          <w:sz w:val="22"/>
          <w:szCs w:val="22"/>
          <w:shd w:val="clear" w:color="auto" w:fill="FFFFFF" w:themeFill="background1"/>
        </w:rPr>
        <w:t>2017 Consolidated Financial Result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090"/>
        <w:gridCol w:w="3090"/>
      </w:tblGrid>
      <w:tr w:rsidR="00C735D8" w:rsidRPr="00C735D8" w:rsidTr="009019C2">
        <w:trPr>
          <w:trHeight w:val="362"/>
        </w:trPr>
        <w:tc>
          <w:tcPr>
            <w:tcW w:w="2550" w:type="dxa"/>
            <w:shd w:val="clear" w:color="auto" w:fill="7F7F7F"/>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(Unit: Billion KRW)</w:t>
            </w:r>
          </w:p>
        </w:tc>
        <w:tc>
          <w:tcPr>
            <w:tcW w:w="3090" w:type="dxa"/>
            <w:shd w:val="clear" w:color="auto" w:fill="7F7F7F"/>
            <w:vAlign w:val="center"/>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090" w:type="dxa"/>
            <w:shd w:val="clear" w:color="auto" w:fill="7F7F7F"/>
            <w:vAlign w:val="center"/>
          </w:tcPr>
          <w:p w:rsidR="00C735D8" w:rsidRPr="00C735D8" w:rsidRDefault="00C735D8" w:rsidP="009019C2">
            <w:pPr>
              <w:widowControl/>
              <w:wordWrap/>
              <w:autoSpaceDE/>
              <w:autoSpaceDN/>
              <w:ind w:right="112"/>
              <w:jc w:val="center"/>
              <w:rPr>
                <w:rFonts w:ascii="Arial" w:eastAsia="Gulim" w:hAnsi="Arial" w:cs="Arial"/>
                <w:b/>
                <w:bCs/>
                <w:color w:val="FFFFFF"/>
                <w:kern w:val="0"/>
                <w:sz w:val="22"/>
                <w:szCs w:val="22"/>
              </w:rPr>
            </w:pPr>
            <w:r w:rsidRPr="00C735D8">
              <w:rPr>
                <w:rFonts w:ascii="Arial" w:eastAsia="Gulim" w:hAnsi="Arial" w:cs="Arial"/>
                <w:b/>
                <w:bCs/>
                <w:color w:val="FFFFFF"/>
                <w:kern w:val="0"/>
                <w:sz w:val="22"/>
                <w:szCs w:val="22"/>
              </w:rPr>
              <w:t>FY 2017</w:t>
            </w:r>
          </w:p>
        </w:tc>
      </w:tr>
      <w:tr w:rsidR="00C735D8" w:rsidRPr="00C735D8" w:rsidTr="009019C2">
        <w:trPr>
          <w:trHeight w:val="362"/>
        </w:trPr>
        <w:tc>
          <w:tcPr>
            <w:tcW w:w="2550" w:type="dxa"/>
            <w:shd w:val="clear" w:color="auto" w:fill="auto"/>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Sales</w:t>
            </w:r>
          </w:p>
        </w:tc>
        <w:tc>
          <w:tcPr>
            <w:tcW w:w="3090" w:type="dxa"/>
          </w:tcPr>
          <w:p w:rsidR="00C735D8" w:rsidRPr="00C735D8" w:rsidRDefault="00C735D8" w:rsidP="009019C2">
            <w:pPr>
              <w:widowControl/>
              <w:wordWrap/>
              <w:autoSpaceDE/>
              <w:autoSpaceDN/>
              <w:ind w:right="160"/>
              <w:jc w:val="center"/>
              <w:rPr>
                <w:rFonts w:ascii="Arial" w:eastAsia="Gulim" w:hAnsi="Arial" w:cs="Arial"/>
                <w:b/>
                <w:color w:val="000000" w:themeColor="text1"/>
                <w:kern w:val="0"/>
                <w:sz w:val="22"/>
                <w:szCs w:val="22"/>
              </w:rPr>
            </w:pPr>
            <w:r w:rsidRPr="00C735D8">
              <w:rPr>
                <w:rFonts w:ascii="Arial" w:hAnsi="Arial" w:cs="Arial"/>
                <w:b/>
                <w:sz w:val="22"/>
                <w:szCs w:val="22"/>
              </w:rPr>
              <w:t>6,621.8</w:t>
            </w:r>
          </w:p>
        </w:tc>
        <w:tc>
          <w:tcPr>
            <w:tcW w:w="3090" w:type="dxa"/>
            <w:shd w:val="clear" w:color="auto" w:fill="auto"/>
            <w:vAlign w:val="center"/>
          </w:tcPr>
          <w:p w:rsidR="00C735D8" w:rsidRPr="00C735D8" w:rsidRDefault="00C735D8" w:rsidP="009019C2">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6,813.3</w:t>
            </w:r>
          </w:p>
        </w:tc>
      </w:tr>
      <w:tr w:rsidR="00C735D8" w:rsidRPr="00C735D8" w:rsidTr="009019C2">
        <w:trPr>
          <w:trHeight w:val="362"/>
        </w:trPr>
        <w:tc>
          <w:tcPr>
            <w:tcW w:w="2550" w:type="dxa"/>
            <w:shd w:val="clear" w:color="auto" w:fill="auto"/>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Operating Profit</w:t>
            </w:r>
          </w:p>
        </w:tc>
        <w:tc>
          <w:tcPr>
            <w:tcW w:w="3090" w:type="dxa"/>
          </w:tcPr>
          <w:p w:rsidR="00C735D8" w:rsidRPr="00C735D8" w:rsidRDefault="00C735D8" w:rsidP="009019C2">
            <w:pPr>
              <w:widowControl/>
              <w:wordWrap/>
              <w:autoSpaceDE/>
              <w:autoSpaceDN/>
              <w:ind w:right="160"/>
              <w:jc w:val="center"/>
              <w:rPr>
                <w:rFonts w:ascii="Arial" w:eastAsia="Gulim" w:hAnsi="Arial" w:cs="Arial"/>
                <w:b/>
                <w:color w:val="000000" w:themeColor="text1"/>
                <w:kern w:val="0"/>
                <w:sz w:val="22"/>
                <w:szCs w:val="22"/>
              </w:rPr>
            </w:pPr>
            <w:r w:rsidRPr="00C735D8">
              <w:rPr>
                <w:rFonts w:ascii="Arial" w:hAnsi="Arial" w:cs="Arial"/>
                <w:b/>
                <w:sz w:val="22"/>
                <w:szCs w:val="22"/>
              </w:rPr>
              <w:t>1,103.2</w:t>
            </w:r>
          </w:p>
        </w:tc>
        <w:tc>
          <w:tcPr>
            <w:tcW w:w="3090" w:type="dxa"/>
            <w:shd w:val="clear" w:color="auto" w:fill="auto"/>
            <w:vAlign w:val="center"/>
          </w:tcPr>
          <w:p w:rsidR="00C735D8" w:rsidRPr="00C735D8" w:rsidRDefault="00C735D8" w:rsidP="009019C2">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793.7</w:t>
            </w:r>
          </w:p>
        </w:tc>
      </w:tr>
    </w:tbl>
    <w:p w:rsidR="00C735D8" w:rsidRPr="00C735D8" w:rsidRDefault="00C735D8" w:rsidP="00C735D8">
      <w:pPr>
        <w:widowControl/>
        <w:wordWrap/>
        <w:autoSpaceDE/>
        <w:autoSpaceDN/>
        <w:jc w:val="left"/>
        <w:rPr>
          <w:rFonts w:ascii="Arial" w:eastAsia="Gulim" w:hAnsi="Arial" w:cs="Arial"/>
          <w:kern w:val="0"/>
          <w:sz w:val="22"/>
          <w:szCs w:val="22"/>
        </w:rPr>
      </w:pPr>
      <w:r w:rsidRPr="00C735D8">
        <w:rPr>
          <w:rFonts w:ascii="Arial" w:eastAsia="Malgun Gothic" w:hAnsi="Arial" w:cs="Arial"/>
          <w:color w:val="500050"/>
          <w:kern w:val="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C735D8" w:rsidRPr="00C735D8" w:rsidTr="009019C2">
        <w:trPr>
          <w:trHeight w:val="363"/>
        </w:trPr>
        <w:tc>
          <w:tcPr>
            <w:tcW w:w="2550" w:type="dxa"/>
            <w:shd w:val="clear" w:color="auto" w:fill="7F7F7F"/>
            <w:vAlign w:val="center"/>
            <w:hideMark/>
          </w:tcPr>
          <w:p w:rsidR="00C735D8" w:rsidRPr="00C735D8" w:rsidRDefault="00C735D8" w:rsidP="009019C2">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FFFFFF"/>
                <w:kern w:val="0"/>
                <w:sz w:val="22"/>
                <w:szCs w:val="22"/>
              </w:rPr>
              <w:t>(Unit: Million USD)</w:t>
            </w:r>
          </w:p>
        </w:tc>
        <w:tc>
          <w:tcPr>
            <w:tcW w:w="3120" w:type="dxa"/>
            <w:shd w:val="clear" w:color="auto" w:fill="7F7F7F"/>
            <w:vAlign w:val="center"/>
          </w:tcPr>
          <w:p w:rsidR="00C735D8" w:rsidRPr="00C735D8" w:rsidRDefault="00C735D8" w:rsidP="009019C2">
            <w:pPr>
              <w:widowControl/>
              <w:wordWrap/>
              <w:autoSpaceDE/>
              <w:autoSpaceDN/>
              <w:ind w:right="112"/>
              <w:jc w:val="center"/>
              <w:rPr>
                <w:rFonts w:ascii="Arial" w:eastAsia="Malgun Gothic" w:hAnsi="Arial" w:cs="Arial"/>
                <w:b/>
                <w:bCs/>
                <w:color w:val="FFFFFF"/>
                <w:kern w:val="0"/>
                <w:sz w:val="22"/>
                <w:szCs w:val="22"/>
              </w:rPr>
            </w:pPr>
            <w:r w:rsidRPr="00C735D8">
              <w:rPr>
                <w:rFonts w:ascii="Arial" w:eastAsia="Malgun Gothic" w:hAnsi="Arial" w:cs="Arial"/>
                <w:b/>
                <w:bCs/>
                <w:color w:val="FFFFFF"/>
                <w:kern w:val="0"/>
                <w:sz w:val="22"/>
                <w:szCs w:val="22"/>
              </w:rPr>
              <w:t>FY 2016</w:t>
            </w:r>
          </w:p>
        </w:tc>
        <w:tc>
          <w:tcPr>
            <w:tcW w:w="3120" w:type="dxa"/>
            <w:shd w:val="clear" w:color="auto" w:fill="7F7F7F"/>
            <w:vAlign w:val="center"/>
          </w:tcPr>
          <w:p w:rsidR="00C735D8" w:rsidRPr="00C735D8" w:rsidRDefault="00C735D8" w:rsidP="009019C2">
            <w:pPr>
              <w:widowControl/>
              <w:wordWrap/>
              <w:autoSpaceDE/>
              <w:autoSpaceDN/>
              <w:ind w:right="112"/>
              <w:jc w:val="center"/>
              <w:rPr>
                <w:rFonts w:ascii="Arial" w:eastAsia="Malgun Gothic" w:hAnsi="Arial" w:cs="Arial"/>
                <w:b/>
                <w:color w:val="222222"/>
                <w:kern w:val="0"/>
                <w:sz w:val="22"/>
                <w:szCs w:val="22"/>
              </w:rPr>
            </w:pPr>
            <w:r w:rsidRPr="00C735D8">
              <w:rPr>
                <w:rFonts w:ascii="Arial" w:eastAsia="Malgun Gothic" w:hAnsi="Arial" w:cs="Arial"/>
                <w:b/>
                <w:color w:val="FFFFFF" w:themeColor="background1"/>
                <w:kern w:val="0"/>
                <w:sz w:val="22"/>
                <w:szCs w:val="22"/>
              </w:rPr>
              <w:t>FY 2017</w:t>
            </w:r>
          </w:p>
        </w:tc>
      </w:tr>
      <w:tr w:rsidR="00C735D8" w:rsidRPr="00C735D8" w:rsidTr="009019C2">
        <w:trPr>
          <w:trHeight w:val="363"/>
        </w:trPr>
        <w:tc>
          <w:tcPr>
            <w:tcW w:w="2550" w:type="dxa"/>
            <w:shd w:val="clear" w:color="auto" w:fill="auto"/>
            <w:vAlign w:val="center"/>
            <w:hideMark/>
          </w:tcPr>
          <w:p w:rsidR="00C735D8" w:rsidRPr="00C735D8" w:rsidRDefault="00C735D8" w:rsidP="009019C2">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222222"/>
                <w:kern w:val="0"/>
                <w:sz w:val="22"/>
                <w:szCs w:val="22"/>
              </w:rPr>
              <w:t>Sales</w:t>
            </w:r>
          </w:p>
        </w:tc>
        <w:tc>
          <w:tcPr>
            <w:tcW w:w="3120" w:type="dxa"/>
          </w:tcPr>
          <w:p w:rsidR="00C735D8" w:rsidRPr="00C735D8" w:rsidRDefault="00C735D8" w:rsidP="009019C2">
            <w:pPr>
              <w:widowControl/>
              <w:wordWrap/>
              <w:autoSpaceDE/>
              <w:autoSpaceDN/>
              <w:jc w:val="center"/>
              <w:rPr>
                <w:rFonts w:ascii="Arial" w:eastAsia="Malgun Gothic" w:hAnsi="Arial" w:cs="Arial"/>
                <w:b/>
                <w:bCs/>
                <w:color w:val="000000" w:themeColor="text1"/>
                <w:kern w:val="0"/>
                <w:sz w:val="22"/>
                <w:szCs w:val="22"/>
              </w:rPr>
            </w:pPr>
            <w:r w:rsidRPr="00C735D8">
              <w:rPr>
                <w:rFonts w:ascii="Arial" w:eastAsia="Malgun Gothic" w:hAnsi="Arial" w:cs="Arial"/>
                <w:b/>
                <w:bCs/>
                <w:color w:val="000000" w:themeColor="text1"/>
                <w:kern w:val="0"/>
                <w:sz w:val="22"/>
                <w:szCs w:val="22"/>
              </w:rPr>
              <w:t>5,706</w:t>
            </w:r>
          </w:p>
        </w:tc>
        <w:tc>
          <w:tcPr>
            <w:tcW w:w="3120" w:type="dxa"/>
            <w:shd w:val="clear" w:color="auto" w:fill="auto"/>
          </w:tcPr>
          <w:p w:rsidR="00C735D8" w:rsidRPr="00C735D8" w:rsidRDefault="00C735D8" w:rsidP="009019C2">
            <w:pPr>
              <w:widowControl/>
              <w:wordWrap/>
              <w:autoSpaceDE/>
              <w:autoSpaceDN/>
              <w:jc w:val="center"/>
              <w:rPr>
                <w:rFonts w:ascii="Arial" w:eastAsia="Malgun Gothic" w:hAnsi="Arial" w:cs="Arial"/>
                <w:b/>
                <w:color w:val="000000" w:themeColor="text1"/>
                <w:kern w:val="0"/>
                <w:sz w:val="22"/>
                <w:szCs w:val="22"/>
              </w:rPr>
            </w:pPr>
            <w:r w:rsidRPr="00C735D8">
              <w:rPr>
                <w:rFonts w:ascii="Arial" w:eastAsia="Malgun Gothic" w:hAnsi="Arial" w:cs="Arial"/>
                <w:b/>
                <w:color w:val="000000" w:themeColor="text1"/>
                <w:kern w:val="0"/>
                <w:sz w:val="22"/>
                <w:szCs w:val="22"/>
              </w:rPr>
              <w:t>6,024.9</w:t>
            </w:r>
          </w:p>
        </w:tc>
      </w:tr>
      <w:tr w:rsidR="00C735D8" w:rsidRPr="00C735D8" w:rsidTr="009019C2">
        <w:trPr>
          <w:trHeight w:val="363"/>
        </w:trPr>
        <w:tc>
          <w:tcPr>
            <w:tcW w:w="2550" w:type="dxa"/>
            <w:shd w:val="clear" w:color="auto" w:fill="auto"/>
            <w:vAlign w:val="center"/>
            <w:hideMark/>
          </w:tcPr>
          <w:p w:rsidR="00C735D8" w:rsidRPr="00C735D8" w:rsidRDefault="00C735D8" w:rsidP="009019C2">
            <w:pPr>
              <w:widowControl/>
              <w:wordWrap/>
              <w:autoSpaceDE/>
              <w:autoSpaceDN/>
              <w:ind w:right="112"/>
              <w:jc w:val="center"/>
              <w:rPr>
                <w:rFonts w:ascii="Arial" w:eastAsia="Malgun Gothic" w:hAnsi="Arial" w:cs="Arial"/>
                <w:color w:val="222222"/>
                <w:kern w:val="0"/>
                <w:sz w:val="22"/>
                <w:szCs w:val="22"/>
              </w:rPr>
            </w:pPr>
            <w:r w:rsidRPr="00C735D8">
              <w:rPr>
                <w:rFonts w:ascii="Arial" w:eastAsia="Malgun Gothic" w:hAnsi="Arial" w:cs="Arial"/>
                <w:b/>
                <w:bCs/>
                <w:color w:val="222222"/>
                <w:kern w:val="0"/>
                <w:sz w:val="22"/>
                <w:szCs w:val="22"/>
              </w:rPr>
              <w:t>Operating Profit</w:t>
            </w:r>
          </w:p>
        </w:tc>
        <w:tc>
          <w:tcPr>
            <w:tcW w:w="3120" w:type="dxa"/>
          </w:tcPr>
          <w:p w:rsidR="00C735D8" w:rsidRPr="00C735D8" w:rsidRDefault="00C735D8" w:rsidP="009019C2">
            <w:pPr>
              <w:widowControl/>
              <w:wordWrap/>
              <w:autoSpaceDE/>
              <w:autoSpaceDN/>
              <w:jc w:val="center"/>
              <w:rPr>
                <w:rFonts w:ascii="Arial" w:eastAsia="Malgun Gothic" w:hAnsi="Arial" w:cs="Arial"/>
                <w:b/>
                <w:bCs/>
                <w:color w:val="000000" w:themeColor="text1"/>
                <w:kern w:val="0"/>
                <w:sz w:val="22"/>
                <w:szCs w:val="22"/>
              </w:rPr>
            </w:pPr>
            <w:r w:rsidRPr="00C735D8">
              <w:rPr>
                <w:rFonts w:ascii="Arial" w:eastAsia="Malgun Gothic" w:hAnsi="Arial" w:cs="Arial"/>
                <w:b/>
                <w:bCs/>
                <w:color w:val="000000" w:themeColor="text1"/>
                <w:kern w:val="0"/>
                <w:sz w:val="22"/>
                <w:szCs w:val="22"/>
              </w:rPr>
              <w:t>950.6</w:t>
            </w:r>
          </w:p>
        </w:tc>
        <w:tc>
          <w:tcPr>
            <w:tcW w:w="3120" w:type="dxa"/>
            <w:shd w:val="clear" w:color="auto" w:fill="auto"/>
          </w:tcPr>
          <w:p w:rsidR="00C735D8" w:rsidRPr="00C735D8" w:rsidRDefault="00C735D8" w:rsidP="009019C2">
            <w:pPr>
              <w:widowControl/>
              <w:wordWrap/>
              <w:autoSpaceDE/>
              <w:autoSpaceDN/>
              <w:jc w:val="center"/>
              <w:rPr>
                <w:rFonts w:ascii="Arial" w:eastAsia="Malgun Gothic" w:hAnsi="Arial" w:cs="Arial"/>
                <w:b/>
                <w:color w:val="000000" w:themeColor="text1"/>
                <w:kern w:val="0"/>
                <w:sz w:val="22"/>
                <w:szCs w:val="22"/>
              </w:rPr>
            </w:pPr>
            <w:r w:rsidRPr="00C735D8">
              <w:rPr>
                <w:rFonts w:ascii="Arial" w:eastAsia="Malgun Gothic" w:hAnsi="Arial" w:cs="Arial"/>
                <w:b/>
                <w:color w:val="000000" w:themeColor="text1"/>
                <w:kern w:val="0"/>
                <w:sz w:val="22"/>
                <w:szCs w:val="22"/>
              </w:rPr>
              <w:t>701.8</w:t>
            </w:r>
          </w:p>
        </w:tc>
      </w:tr>
    </w:tbl>
    <w:p w:rsidR="00C735D8" w:rsidRPr="00C735D8" w:rsidRDefault="00C735D8" w:rsidP="00C735D8">
      <w:pPr>
        <w:widowControl/>
        <w:wordWrap/>
        <w:autoSpaceDE/>
        <w:autoSpaceDN/>
        <w:spacing w:line="207" w:lineRule="atLeast"/>
        <w:ind w:left="142" w:right="112"/>
        <w:jc w:val="left"/>
        <w:rPr>
          <w:rFonts w:ascii="Arial" w:eastAsia="Malgun Gothic" w:hAnsi="Arial" w:cs="Arial"/>
          <w:color w:val="500050"/>
          <w:kern w:val="0"/>
          <w:sz w:val="22"/>
          <w:szCs w:val="22"/>
          <w:shd w:val="clear" w:color="auto" w:fill="FFFFFF"/>
        </w:rPr>
      </w:pPr>
      <w:r w:rsidRPr="00C735D8">
        <w:rPr>
          <w:rFonts w:ascii="Arial" w:eastAsia="Malgun Gothic" w:hAnsi="Arial" w:cs="Arial"/>
          <w:color w:val="500050"/>
          <w:kern w:val="0"/>
          <w:sz w:val="22"/>
          <w:szCs w:val="22"/>
          <w:shd w:val="clear" w:color="auto" w:fill="FFFFFF"/>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C735D8" w:rsidRPr="00C735D8" w:rsidTr="009019C2">
        <w:trPr>
          <w:trHeight w:val="363"/>
        </w:trPr>
        <w:tc>
          <w:tcPr>
            <w:tcW w:w="2550" w:type="dxa"/>
            <w:shd w:val="clear" w:color="auto" w:fill="7F7F7F"/>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(Unit: Million EUR)</w:t>
            </w:r>
          </w:p>
        </w:tc>
        <w:tc>
          <w:tcPr>
            <w:tcW w:w="3120" w:type="dxa"/>
            <w:shd w:val="clear" w:color="auto" w:fill="7F7F7F"/>
            <w:vAlign w:val="center"/>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120" w:type="dxa"/>
            <w:shd w:val="clear" w:color="auto" w:fill="7F7F7F"/>
            <w:vAlign w:val="center"/>
          </w:tcPr>
          <w:p w:rsidR="00C735D8" w:rsidRPr="00C735D8" w:rsidRDefault="00C735D8" w:rsidP="009019C2">
            <w:pPr>
              <w:widowControl/>
              <w:wordWrap/>
              <w:autoSpaceDE/>
              <w:autoSpaceDN/>
              <w:ind w:right="112"/>
              <w:jc w:val="center"/>
              <w:rPr>
                <w:rFonts w:ascii="Arial" w:eastAsia="Gulim" w:hAnsi="Arial" w:cs="Arial"/>
                <w:b/>
                <w:kern w:val="0"/>
                <w:sz w:val="22"/>
                <w:szCs w:val="22"/>
              </w:rPr>
            </w:pPr>
            <w:r w:rsidRPr="00C735D8">
              <w:rPr>
                <w:rFonts w:ascii="Arial" w:eastAsia="Gulim" w:hAnsi="Arial" w:cs="Arial"/>
                <w:b/>
                <w:color w:val="FFFFFF" w:themeColor="background1"/>
                <w:kern w:val="0"/>
                <w:sz w:val="22"/>
                <w:szCs w:val="22"/>
              </w:rPr>
              <w:t>FY 2017</w:t>
            </w:r>
          </w:p>
        </w:tc>
      </w:tr>
      <w:tr w:rsidR="00C735D8" w:rsidRPr="00C735D8" w:rsidTr="009019C2">
        <w:trPr>
          <w:trHeight w:val="363"/>
        </w:trPr>
        <w:tc>
          <w:tcPr>
            <w:tcW w:w="2550" w:type="dxa"/>
            <w:shd w:val="clear" w:color="auto" w:fill="auto"/>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Sales</w:t>
            </w:r>
          </w:p>
        </w:tc>
        <w:tc>
          <w:tcPr>
            <w:tcW w:w="3120" w:type="dxa"/>
            <w:vAlign w:val="center"/>
          </w:tcPr>
          <w:p w:rsidR="00C735D8" w:rsidRPr="00C735D8" w:rsidRDefault="00C735D8" w:rsidP="009019C2">
            <w:pPr>
              <w:widowControl/>
              <w:wordWrap/>
              <w:autoSpaceDE/>
              <w:autoSpaceDN/>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5,160</w:t>
            </w:r>
          </w:p>
        </w:tc>
        <w:tc>
          <w:tcPr>
            <w:tcW w:w="3120" w:type="dxa"/>
            <w:shd w:val="clear" w:color="auto" w:fill="auto"/>
            <w:vAlign w:val="center"/>
          </w:tcPr>
          <w:p w:rsidR="00C735D8" w:rsidRPr="00C735D8" w:rsidRDefault="00C735D8" w:rsidP="009019C2">
            <w:pPr>
              <w:widowControl/>
              <w:wordWrap/>
              <w:autoSpaceDE/>
              <w:autoSpaceDN/>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5,337.9</w:t>
            </w:r>
          </w:p>
        </w:tc>
      </w:tr>
      <w:tr w:rsidR="00C735D8" w:rsidRPr="00C735D8" w:rsidTr="009019C2">
        <w:trPr>
          <w:trHeight w:val="363"/>
        </w:trPr>
        <w:tc>
          <w:tcPr>
            <w:tcW w:w="2550" w:type="dxa"/>
            <w:shd w:val="clear" w:color="auto" w:fill="auto"/>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Operating Profit</w:t>
            </w:r>
          </w:p>
        </w:tc>
        <w:tc>
          <w:tcPr>
            <w:tcW w:w="3120" w:type="dxa"/>
            <w:vAlign w:val="center"/>
          </w:tcPr>
          <w:p w:rsidR="00C735D8" w:rsidRPr="00C735D8" w:rsidRDefault="00C735D8" w:rsidP="009019C2">
            <w:pPr>
              <w:widowControl/>
              <w:wordWrap/>
              <w:autoSpaceDE/>
              <w:autoSpaceDN/>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859.7</w:t>
            </w:r>
          </w:p>
        </w:tc>
        <w:tc>
          <w:tcPr>
            <w:tcW w:w="3120" w:type="dxa"/>
            <w:shd w:val="clear" w:color="auto" w:fill="auto"/>
            <w:vAlign w:val="center"/>
          </w:tcPr>
          <w:p w:rsidR="00C735D8" w:rsidRPr="00C735D8" w:rsidRDefault="00C735D8" w:rsidP="009019C2">
            <w:pPr>
              <w:widowControl/>
              <w:wordWrap/>
              <w:autoSpaceDE/>
              <w:autoSpaceDN/>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621.8</w:t>
            </w:r>
          </w:p>
        </w:tc>
      </w:tr>
    </w:tbl>
    <w:p w:rsidR="00C735D8" w:rsidRPr="00C735D8" w:rsidRDefault="00C735D8" w:rsidP="00C735D8">
      <w:pPr>
        <w:widowControl/>
        <w:wordWrap/>
        <w:autoSpaceDE/>
        <w:autoSpaceDN/>
        <w:spacing w:line="207" w:lineRule="atLeast"/>
        <w:ind w:left="142" w:right="112"/>
        <w:jc w:val="left"/>
        <w:rPr>
          <w:rFonts w:ascii="Arial" w:eastAsia="Gulim" w:hAnsi="Arial" w:cs="Arial"/>
          <w:kern w:val="0"/>
          <w:sz w:val="22"/>
          <w:szCs w:val="22"/>
        </w:rPr>
      </w:pPr>
      <w:r w:rsidRPr="00C735D8">
        <w:rPr>
          <w:rFonts w:ascii="Arial" w:eastAsia="Malgun Gothic" w:hAnsi="Arial" w:cs="Arial"/>
          <w:color w:val="500050"/>
          <w:kern w:val="0"/>
          <w:sz w:val="22"/>
          <w:szCs w:val="22"/>
          <w:shd w:val="clear" w:color="auto" w:fill="FFFFFF"/>
        </w:rPr>
        <w:t> </w:t>
      </w:r>
    </w:p>
    <w:p w:rsidR="00C735D8" w:rsidRPr="00C735D8" w:rsidRDefault="00C735D8" w:rsidP="00C735D8">
      <w:pPr>
        <w:widowControl/>
        <w:wordWrap/>
        <w:autoSpaceDE/>
        <w:autoSpaceDN/>
        <w:spacing w:line="207" w:lineRule="atLeast"/>
        <w:ind w:right="112"/>
        <w:jc w:val="left"/>
        <w:rPr>
          <w:rFonts w:ascii="Arial" w:eastAsia="Malgun Gothic" w:hAnsi="Arial" w:cs="Arial"/>
          <w:color w:val="000000" w:themeColor="text1"/>
          <w:kern w:val="0"/>
          <w:sz w:val="22"/>
          <w:szCs w:val="22"/>
          <w:shd w:val="clear" w:color="auto" w:fill="FFFFFF"/>
        </w:rPr>
      </w:pPr>
      <w:r w:rsidRPr="00C735D8">
        <w:rPr>
          <w:rFonts w:ascii="Arial" w:eastAsia="Malgun Gothic" w:hAnsi="Arial" w:cs="Arial"/>
          <w:b/>
          <w:bCs/>
          <w:i/>
          <w:iCs/>
          <w:color w:val="000000" w:themeColor="text1"/>
          <w:kern w:val="0"/>
          <w:sz w:val="22"/>
          <w:szCs w:val="22"/>
          <w:shd w:val="clear" w:color="auto" w:fill="FFFFFF"/>
        </w:rPr>
        <w:t>*Exchange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C735D8" w:rsidRPr="00C735D8" w:rsidTr="009019C2">
        <w:trPr>
          <w:trHeight w:val="363"/>
        </w:trPr>
        <w:tc>
          <w:tcPr>
            <w:tcW w:w="2550" w:type="dxa"/>
            <w:shd w:val="clear" w:color="auto" w:fill="7F7F7F"/>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 </w:t>
            </w:r>
          </w:p>
        </w:tc>
        <w:tc>
          <w:tcPr>
            <w:tcW w:w="3120" w:type="dxa"/>
            <w:shd w:val="clear" w:color="auto" w:fill="7F7F7F"/>
            <w:vAlign w:val="center"/>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color w:val="FFFFFF"/>
                <w:kern w:val="0"/>
                <w:sz w:val="22"/>
                <w:szCs w:val="22"/>
              </w:rPr>
              <w:t>FY 2016</w:t>
            </w:r>
          </w:p>
        </w:tc>
        <w:tc>
          <w:tcPr>
            <w:tcW w:w="3120" w:type="dxa"/>
            <w:shd w:val="clear" w:color="auto" w:fill="7F7F7F"/>
            <w:vAlign w:val="center"/>
          </w:tcPr>
          <w:p w:rsidR="00C735D8" w:rsidRPr="00C735D8" w:rsidRDefault="00C735D8" w:rsidP="009019C2">
            <w:pPr>
              <w:widowControl/>
              <w:wordWrap/>
              <w:autoSpaceDE/>
              <w:autoSpaceDN/>
              <w:ind w:right="112"/>
              <w:jc w:val="center"/>
              <w:rPr>
                <w:rFonts w:ascii="Arial" w:eastAsia="Gulim" w:hAnsi="Arial" w:cs="Arial"/>
                <w:b/>
                <w:kern w:val="0"/>
                <w:sz w:val="22"/>
                <w:szCs w:val="22"/>
              </w:rPr>
            </w:pPr>
            <w:r w:rsidRPr="00C735D8">
              <w:rPr>
                <w:rFonts w:ascii="Arial" w:eastAsia="Gulim" w:hAnsi="Arial" w:cs="Arial"/>
                <w:b/>
                <w:color w:val="FFFFFF" w:themeColor="background1"/>
                <w:kern w:val="0"/>
                <w:sz w:val="22"/>
                <w:szCs w:val="22"/>
              </w:rPr>
              <w:t>FY 2017</w:t>
            </w:r>
          </w:p>
        </w:tc>
      </w:tr>
      <w:tr w:rsidR="00C735D8" w:rsidRPr="00C735D8" w:rsidTr="009019C2">
        <w:trPr>
          <w:trHeight w:val="363"/>
        </w:trPr>
        <w:tc>
          <w:tcPr>
            <w:tcW w:w="2550" w:type="dxa"/>
            <w:shd w:val="clear" w:color="auto" w:fill="auto"/>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USD / KRW</w:t>
            </w:r>
          </w:p>
        </w:tc>
        <w:tc>
          <w:tcPr>
            <w:tcW w:w="3120" w:type="dxa"/>
            <w:vAlign w:val="center"/>
          </w:tcPr>
          <w:p w:rsidR="00C735D8" w:rsidRPr="00C735D8" w:rsidRDefault="00C735D8" w:rsidP="009019C2">
            <w:pPr>
              <w:widowControl/>
              <w:wordWrap/>
              <w:autoSpaceDE/>
              <w:autoSpaceDN/>
              <w:ind w:right="160"/>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1,160.50</w:t>
            </w:r>
          </w:p>
        </w:tc>
        <w:tc>
          <w:tcPr>
            <w:tcW w:w="3120" w:type="dxa"/>
            <w:shd w:val="clear" w:color="auto" w:fill="auto"/>
            <w:vAlign w:val="center"/>
          </w:tcPr>
          <w:p w:rsidR="00C735D8" w:rsidRPr="00C735D8" w:rsidRDefault="00C735D8" w:rsidP="009019C2">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1,130.84</w:t>
            </w:r>
          </w:p>
        </w:tc>
      </w:tr>
      <w:tr w:rsidR="00C735D8" w:rsidRPr="00C735D8" w:rsidTr="009019C2">
        <w:trPr>
          <w:trHeight w:val="363"/>
        </w:trPr>
        <w:tc>
          <w:tcPr>
            <w:tcW w:w="2550" w:type="dxa"/>
            <w:shd w:val="clear" w:color="auto" w:fill="auto"/>
            <w:vAlign w:val="center"/>
            <w:hideMark/>
          </w:tcPr>
          <w:p w:rsidR="00C735D8" w:rsidRPr="00C735D8" w:rsidRDefault="00C735D8" w:rsidP="009019C2">
            <w:pPr>
              <w:widowControl/>
              <w:wordWrap/>
              <w:autoSpaceDE/>
              <w:autoSpaceDN/>
              <w:ind w:right="112"/>
              <w:jc w:val="center"/>
              <w:rPr>
                <w:rFonts w:ascii="Arial" w:eastAsia="Gulim" w:hAnsi="Arial" w:cs="Arial"/>
                <w:kern w:val="0"/>
                <w:sz w:val="22"/>
                <w:szCs w:val="22"/>
              </w:rPr>
            </w:pPr>
            <w:r w:rsidRPr="00C735D8">
              <w:rPr>
                <w:rFonts w:ascii="Arial" w:eastAsia="Gulim" w:hAnsi="Arial" w:cs="Arial"/>
                <w:b/>
                <w:bCs/>
                <w:kern w:val="0"/>
                <w:sz w:val="22"/>
                <w:szCs w:val="22"/>
              </w:rPr>
              <w:t>EUR / KRW</w:t>
            </w:r>
          </w:p>
        </w:tc>
        <w:tc>
          <w:tcPr>
            <w:tcW w:w="3120" w:type="dxa"/>
            <w:vAlign w:val="center"/>
          </w:tcPr>
          <w:p w:rsidR="00C735D8" w:rsidRPr="00C735D8" w:rsidRDefault="00C735D8" w:rsidP="009019C2">
            <w:pPr>
              <w:widowControl/>
              <w:wordWrap/>
              <w:autoSpaceDE/>
              <w:autoSpaceDN/>
              <w:ind w:right="160"/>
              <w:jc w:val="center"/>
              <w:rPr>
                <w:rFonts w:ascii="Arial" w:eastAsia="Gulim" w:hAnsi="Arial" w:cs="Arial"/>
                <w:color w:val="000000" w:themeColor="text1"/>
                <w:kern w:val="0"/>
                <w:sz w:val="22"/>
                <w:szCs w:val="22"/>
              </w:rPr>
            </w:pPr>
            <w:r w:rsidRPr="00C735D8">
              <w:rPr>
                <w:rFonts w:ascii="Arial" w:eastAsia="Gulim" w:hAnsi="Arial" w:cs="Arial"/>
                <w:b/>
                <w:bCs/>
                <w:color w:val="000000" w:themeColor="text1"/>
                <w:kern w:val="0"/>
                <w:sz w:val="22"/>
                <w:szCs w:val="22"/>
              </w:rPr>
              <w:t>1,283.30</w:t>
            </w:r>
          </w:p>
        </w:tc>
        <w:tc>
          <w:tcPr>
            <w:tcW w:w="3120" w:type="dxa"/>
            <w:shd w:val="clear" w:color="auto" w:fill="auto"/>
            <w:vAlign w:val="center"/>
          </w:tcPr>
          <w:p w:rsidR="00C735D8" w:rsidRPr="00C735D8" w:rsidRDefault="00C735D8" w:rsidP="009019C2">
            <w:pPr>
              <w:widowControl/>
              <w:wordWrap/>
              <w:autoSpaceDE/>
              <w:autoSpaceDN/>
              <w:ind w:right="160"/>
              <w:jc w:val="center"/>
              <w:rPr>
                <w:rFonts w:ascii="Arial" w:eastAsia="Gulim" w:hAnsi="Arial" w:cs="Arial"/>
                <w:b/>
                <w:color w:val="000000" w:themeColor="text1"/>
                <w:kern w:val="0"/>
                <w:sz w:val="22"/>
                <w:szCs w:val="22"/>
              </w:rPr>
            </w:pPr>
            <w:r w:rsidRPr="00C735D8">
              <w:rPr>
                <w:rFonts w:ascii="Arial" w:eastAsia="Gulim" w:hAnsi="Arial" w:cs="Arial"/>
                <w:b/>
                <w:color w:val="000000" w:themeColor="text1"/>
                <w:kern w:val="0"/>
                <w:sz w:val="22"/>
                <w:szCs w:val="22"/>
              </w:rPr>
              <w:t>1,276.39</w:t>
            </w:r>
          </w:p>
        </w:tc>
      </w:tr>
    </w:tbl>
    <w:p w:rsidR="00C735D8" w:rsidRPr="00C735D8" w:rsidRDefault="00C735D8" w:rsidP="00C735D8">
      <w:pPr>
        <w:wordWrap/>
        <w:rPr>
          <w:rFonts w:ascii="Arial" w:hAnsi="Arial" w:cs="Arial"/>
          <w:i/>
          <w:iCs/>
          <w:sz w:val="18"/>
          <w:szCs w:val="18"/>
        </w:rPr>
      </w:pPr>
      <w:r w:rsidRPr="00C735D8">
        <w:rPr>
          <w:rFonts w:ascii="Arial" w:hAnsi="Arial" w:cs="Arial"/>
          <w:i/>
          <w:iCs/>
          <w:sz w:val="18"/>
          <w:szCs w:val="18"/>
        </w:rPr>
        <w:t>(NOTE: Average exchange rates for the given annual period, retrieved from Korea Exchange Bank)</w:t>
      </w:r>
    </w:p>
    <w:p w:rsidR="00C735D8" w:rsidRPr="00524A8B" w:rsidRDefault="00C735D8" w:rsidP="00C735D8">
      <w:pPr>
        <w:wordWrap/>
        <w:snapToGrid w:val="0"/>
        <w:spacing w:line="276" w:lineRule="auto"/>
        <w:ind w:rightChars="56" w:right="112"/>
        <w:rPr>
          <w:rFonts w:asciiTheme="minorBidi" w:hAnsiTheme="minorBidi" w:cstheme="minorBidi"/>
          <w:b/>
          <w:kern w:val="0"/>
          <w:sz w:val="22"/>
        </w:rPr>
      </w:pPr>
    </w:p>
    <w:p w:rsidR="00C735D8" w:rsidRDefault="00C735D8" w:rsidP="00C764D7">
      <w:pPr>
        <w:widowControl/>
        <w:wordWrap/>
        <w:autoSpaceDE/>
        <w:autoSpaceDN/>
        <w:spacing w:after="200" w:line="276" w:lineRule="auto"/>
        <w:jc w:val="left"/>
        <w:rPr>
          <w:rFonts w:ascii="Times New Roman" w:eastAsia="Calibri"/>
          <w:b/>
          <w:bCs/>
          <w:kern w:val="0"/>
          <w:sz w:val="21"/>
          <w:szCs w:val="21"/>
        </w:rPr>
      </w:pPr>
    </w:p>
    <w:p w:rsidR="00C735D8" w:rsidRDefault="00C735D8" w:rsidP="00C764D7">
      <w:pPr>
        <w:widowControl/>
        <w:wordWrap/>
        <w:autoSpaceDE/>
        <w:autoSpaceDN/>
        <w:spacing w:after="200" w:line="276" w:lineRule="auto"/>
        <w:jc w:val="left"/>
        <w:rPr>
          <w:rFonts w:ascii="Times New Roman" w:eastAsia="Calibri"/>
          <w:b/>
          <w:bCs/>
          <w:kern w:val="0"/>
          <w:sz w:val="21"/>
          <w:szCs w:val="21"/>
        </w:rPr>
      </w:pPr>
      <w:r>
        <w:rPr>
          <w:rFonts w:ascii="Times New Roman" w:eastAsia="Calibri"/>
          <w:b/>
          <w:bCs/>
          <w:kern w:val="0"/>
          <w:sz w:val="21"/>
          <w:szCs w:val="21"/>
        </w:rPr>
        <w:br w:type="page"/>
      </w:r>
    </w:p>
    <w:p w:rsidR="00C764D7" w:rsidRPr="00A731B2" w:rsidRDefault="00C764D7" w:rsidP="00C764D7">
      <w:pPr>
        <w:widowControl/>
        <w:wordWrap/>
        <w:autoSpaceDE/>
        <w:autoSpaceDN/>
        <w:spacing w:after="200" w:line="276" w:lineRule="auto"/>
        <w:jc w:val="left"/>
        <w:rPr>
          <w:rFonts w:ascii="Times New Roman" w:eastAsia="Calibri"/>
          <w:b/>
          <w:bCs/>
          <w:kern w:val="0"/>
          <w:sz w:val="21"/>
          <w:szCs w:val="21"/>
        </w:rPr>
      </w:pPr>
    </w:p>
    <w:p w:rsidR="004D6945" w:rsidRPr="004F7401" w:rsidRDefault="004D6945" w:rsidP="004D6945">
      <w:pPr>
        <w:wordWrap/>
        <w:spacing w:line="276" w:lineRule="auto"/>
        <w:rPr>
          <w:rFonts w:ascii="Times New Roman"/>
          <w:b/>
          <w:bCs/>
          <w:sz w:val="21"/>
          <w:szCs w:val="21"/>
        </w:rPr>
      </w:pPr>
      <w:r>
        <w:rPr>
          <w:rFonts w:ascii="Times New Roman"/>
          <w:b/>
          <w:sz w:val="21"/>
        </w:rPr>
        <w:t>About Hankook Tire</w:t>
      </w:r>
    </w:p>
    <w:p w:rsidR="004D6945" w:rsidRPr="004F7401" w:rsidRDefault="004D6945" w:rsidP="004D6945">
      <w:pPr>
        <w:wordWrap/>
        <w:spacing w:line="276" w:lineRule="auto"/>
        <w:rPr>
          <w:rFonts w:ascii="Times New Roman"/>
          <w:b/>
          <w:bCs/>
          <w:sz w:val="21"/>
          <w:szCs w:val="21"/>
        </w:rPr>
      </w:pPr>
    </w:p>
    <w:p w:rsidR="00D62902" w:rsidRPr="00D62902" w:rsidRDefault="00D62902" w:rsidP="00D62902">
      <w:pPr>
        <w:pStyle w:val="StandardWeb"/>
        <w:rPr>
          <w:sz w:val="21"/>
        </w:rPr>
      </w:pPr>
      <w:r w:rsidRPr="00D62902">
        <w:rPr>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D62902" w:rsidRPr="00D62902" w:rsidRDefault="00D62902" w:rsidP="00D62902">
      <w:pPr>
        <w:pStyle w:val="StandardWeb"/>
        <w:rPr>
          <w:sz w:val="21"/>
        </w:rPr>
      </w:pPr>
      <w:r w:rsidRPr="00D62902">
        <w:rPr>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D62902">
        <w:rPr>
          <w:sz w:val="21"/>
        </w:rPr>
        <w:t>Rácalmás</w:t>
      </w:r>
      <w:proofErr w:type="spellEnd"/>
      <w:r w:rsidRPr="00D62902">
        <w:rPr>
          <w:sz w:val="21"/>
        </w:rPr>
        <w:t xml:space="preserve">/Hungary which was inaugurated in June 2007 and is continuously being expanded. Currently more than 3,000 employees produce up to 19 million tyres a year for passenger cars, SUVs and light trucks. </w:t>
      </w:r>
    </w:p>
    <w:p w:rsidR="00D62902" w:rsidRPr="00D62902" w:rsidRDefault="00D62902" w:rsidP="00D62902">
      <w:pPr>
        <w:pStyle w:val="StandardWeb"/>
        <w:rPr>
          <w:sz w:val="21"/>
        </w:rPr>
      </w:pPr>
      <w:r w:rsidRPr="00D62902">
        <w:rPr>
          <w:sz w:val="21"/>
        </w:rPr>
        <w:t xml:space="preserve">Hankook Tire’s European headquarters </w:t>
      </w:r>
      <w:proofErr w:type="gramStart"/>
      <w:r w:rsidRPr="00D62902">
        <w:rPr>
          <w:sz w:val="21"/>
        </w:rPr>
        <w:t>are located in</w:t>
      </w:r>
      <w:proofErr w:type="gramEnd"/>
      <w:r w:rsidRPr="00D62902">
        <w:rPr>
          <w:sz w:val="21"/>
        </w:rPr>
        <w:t xml:space="preserve"> Neu-</w:t>
      </w:r>
      <w:proofErr w:type="spellStart"/>
      <w:r w:rsidRPr="00D62902">
        <w:rPr>
          <w:sz w:val="21"/>
        </w:rPr>
        <w:t>Isenburg</w:t>
      </w:r>
      <w:proofErr w:type="spellEnd"/>
      <w:r w:rsidRPr="00D62902">
        <w:rPr>
          <w:sz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4D6945" w:rsidRPr="004D6945" w:rsidRDefault="004D6945" w:rsidP="004D6945">
      <w:pPr>
        <w:pStyle w:val="StandardWeb"/>
        <w:jc w:val="both"/>
        <w:rPr>
          <w:sz w:val="21"/>
          <w:szCs w:val="21"/>
        </w:rPr>
      </w:pPr>
      <w:r>
        <w:rPr>
          <w:sz w:val="21"/>
        </w:rPr>
        <w:t>For more information please visit</w:t>
      </w:r>
      <w:r>
        <w:t xml:space="preserve"> </w:t>
      </w:r>
      <w:hyperlink r:id="rId8" w:tooltip="Opens the external link in a new window">
        <w:r>
          <w:rPr>
            <w:rStyle w:val="Hyperlink"/>
            <w:sz w:val="21"/>
          </w:rPr>
          <w:t>www.hankooktire-mediacenter.com</w:t>
        </w:r>
      </w:hyperlink>
      <w:r>
        <w:rPr>
          <w:sz w:val="21"/>
        </w:rPr>
        <w:t xml:space="preserve"> or </w:t>
      </w:r>
      <w:hyperlink r:id="rId9" w:tooltip="Opens the external link in a new window">
        <w:r>
          <w:rPr>
            <w:rStyle w:val="Hyperlink"/>
            <w:sz w:val="21"/>
          </w:rPr>
          <w:t>www.hankooktire.com</w:t>
        </w:r>
      </w:hyperlink>
      <w:r>
        <w:rPr>
          <w:sz w:val="21"/>
        </w:rPr>
        <w:t xml:space="preserve"> </w:t>
      </w:r>
    </w:p>
    <w:p w:rsidR="004D6945" w:rsidRPr="005D4243" w:rsidRDefault="004D6945" w:rsidP="004D6945">
      <w:pPr>
        <w:wordWrap/>
        <w:spacing w:line="276" w:lineRule="auto"/>
        <w:rPr>
          <w:u w:val="single"/>
        </w:rPr>
      </w:pPr>
    </w:p>
    <w:p w:rsidR="004D6945" w:rsidRDefault="004D6945" w:rsidP="00C764D7">
      <w:pPr>
        <w:wordWrap/>
        <w:spacing w:line="320" w:lineRule="exact"/>
        <w:rPr>
          <w:rFonts w:ascii="Times New Roman"/>
          <w:b/>
          <w:bCs/>
          <w:sz w:val="21"/>
          <w:szCs w:val="21"/>
        </w:rPr>
      </w:pPr>
    </w:p>
    <w:p w:rsidR="00C764D7" w:rsidRPr="00B91AAC" w:rsidRDefault="00C764D7" w:rsidP="00C764D7">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764D7" w:rsidRPr="00F31AEC" w:rsidTr="00CF0140">
        <w:tc>
          <w:tcPr>
            <w:tcW w:w="9437" w:type="dxa"/>
            <w:gridSpan w:val="4"/>
            <w:shd w:val="clear" w:color="auto" w:fill="F2F2F2"/>
          </w:tcPr>
          <w:p w:rsidR="00C764D7" w:rsidRPr="00A44EB9" w:rsidRDefault="00C764D7" w:rsidP="00CF0140">
            <w:pPr>
              <w:wordWrap/>
              <w:spacing w:line="320" w:lineRule="exact"/>
              <w:rPr>
                <w:rFonts w:ascii="Times New Roman"/>
                <w:b/>
                <w:bCs/>
                <w:sz w:val="21"/>
                <w:szCs w:val="21"/>
                <w:u w:val="single"/>
              </w:rPr>
            </w:pPr>
            <w:r>
              <w:rPr>
                <w:rFonts w:ascii="Times New Roman"/>
                <w:b/>
                <w:sz w:val="21"/>
                <w:u w:val="single"/>
              </w:rPr>
              <w:t>Contact:</w:t>
            </w:r>
          </w:p>
          <w:p w:rsidR="00C764D7" w:rsidRPr="00F31AEC" w:rsidRDefault="00C764D7" w:rsidP="00CF0140">
            <w:pPr>
              <w:wordWrap/>
              <w:spacing w:line="320" w:lineRule="exact"/>
              <w:rPr>
                <w:rFonts w:ascii="Times New Roman"/>
                <w:sz w:val="16"/>
                <w:szCs w:val="16"/>
              </w:rPr>
            </w:pPr>
            <w:r>
              <w:rPr>
                <w:rFonts w:ascii="Times New Roman"/>
                <w:b/>
                <w:sz w:val="16"/>
              </w:rPr>
              <w:t xml:space="preserve">Hankook Tire Europe GmbH | </w:t>
            </w:r>
            <w:r>
              <w:rPr>
                <w:rFonts w:ascii="Times New Roman"/>
                <w:sz w:val="16"/>
              </w:rPr>
              <w:t>Corporate Communications Europe/CIS</w:t>
            </w:r>
            <w:r>
              <w:rPr>
                <w:rFonts w:ascii="Times New Roman"/>
                <w:b/>
                <w:sz w:val="16"/>
              </w:rPr>
              <w:t xml:space="preserve"> | </w:t>
            </w:r>
            <w:proofErr w:type="spellStart"/>
            <w:r>
              <w:rPr>
                <w:rFonts w:ascii="Times New Roman"/>
                <w:sz w:val="16"/>
              </w:rPr>
              <w:t>Siemensstr</w:t>
            </w:r>
            <w:proofErr w:type="spellEnd"/>
            <w:r>
              <w:rPr>
                <w:rFonts w:ascii="Times New Roman"/>
                <w:sz w:val="16"/>
              </w:rPr>
              <w:t>. 14, 63263 Neu-Isenburg | Germany</w:t>
            </w:r>
          </w:p>
          <w:p w:rsidR="00C764D7" w:rsidRPr="00F31AEC" w:rsidRDefault="00C764D7" w:rsidP="00CF0140">
            <w:pPr>
              <w:wordWrap/>
              <w:spacing w:line="200" w:lineRule="exact"/>
              <w:rPr>
                <w:rFonts w:ascii="Times New Roman"/>
                <w:sz w:val="21"/>
                <w:szCs w:val="21"/>
                <w:u w:val="single"/>
              </w:rPr>
            </w:pPr>
          </w:p>
        </w:tc>
      </w:tr>
      <w:tr w:rsidR="00C735D8" w:rsidRPr="004D6945" w:rsidTr="00CF0140">
        <w:tc>
          <w:tcPr>
            <w:tcW w:w="2359" w:type="dxa"/>
            <w:shd w:val="clear" w:color="auto" w:fill="F2F2F2"/>
          </w:tcPr>
          <w:p w:rsidR="00C735D8" w:rsidRPr="00F31AEC" w:rsidRDefault="00C735D8" w:rsidP="00C735D8">
            <w:pPr>
              <w:wordWrap/>
              <w:spacing w:line="200" w:lineRule="exact"/>
              <w:rPr>
                <w:rFonts w:ascii="Times New Roman"/>
                <w:b/>
                <w:snapToGrid w:val="0"/>
                <w:sz w:val="16"/>
                <w:szCs w:val="16"/>
              </w:rPr>
            </w:pPr>
            <w:r>
              <w:rPr>
                <w:rFonts w:ascii="Times New Roman"/>
                <w:b/>
                <w:snapToGrid w:val="0"/>
                <w:sz w:val="16"/>
              </w:rPr>
              <w:t>Felix Kinzer</w:t>
            </w:r>
          </w:p>
          <w:p w:rsidR="00C735D8" w:rsidRPr="00F31AEC" w:rsidRDefault="00C735D8" w:rsidP="00C735D8">
            <w:pPr>
              <w:wordWrap/>
              <w:spacing w:line="200" w:lineRule="exact"/>
              <w:rPr>
                <w:rFonts w:ascii="Times New Roman"/>
                <w:snapToGrid w:val="0"/>
                <w:sz w:val="16"/>
                <w:szCs w:val="16"/>
              </w:rPr>
            </w:pPr>
            <w:r>
              <w:rPr>
                <w:rFonts w:ascii="Times New Roman"/>
                <w:snapToGrid w:val="0"/>
                <w:sz w:val="16"/>
              </w:rPr>
              <w:t>Director</w:t>
            </w:r>
          </w:p>
          <w:p w:rsidR="00C735D8" w:rsidRPr="00F31AEC" w:rsidRDefault="00C735D8" w:rsidP="00C735D8">
            <w:pPr>
              <w:wordWrap/>
              <w:spacing w:line="200" w:lineRule="exact"/>
              <w:rPr>
                <w:rFonts w:ascii="Times New Roman"/>
                <w:snapToGrid w:val="0"/>
                <w:sz w:val="16"/>
                <w:szCs w:val="16"/>
              </w:rPr>
            </w:pPr>
            <w:r>
              <w:rPr>
                <w:rFonts w:ascii="Times New Roman"/>
                <w:snapToGrid w:val="0"/>
                <w:sz w:val="16"/>
              </w:rPr>
              <w:t>Tel.: +49 (0) 61 02 8149 – 170</w:t>
            </w:r>
          </w:p>
          <w:p w:rsidR="00C735D8" w:rsidRPr="00F31AEC" w:rsidRDefault="00BB6067" w:rsidP="00C735D8">
            <w:pPr>
              <w:rPr>
                <w:rFonts w:ascii="Times New Roman"/>
                <w:snapToGrid w:val="0"/>
                <w:sz w:val="16"/>
                <w:szCs w:val="16"/>
              </w:rPr>
            </w:pPr>
            <w:hyperlink r:id="rId10">
              <w:r w:rsidR="00C735D8">
                <w:rPr>
                  <w:rFonts w:ascii="Times New Roman"/>
                  <w:snapToGrid w:val="0"/>
                  <w:color w:val="0000FF"/>
                  <w:sz w:val="16"/>
                  <w:u w:val="single"/>
                </w:rPr>
                <w:t>f.kinzer@hankookreifen.de</w:t>
              </w:r>
            </w:hyperlink>
          </w:p>
          <w:p w:rsidR="00C735D8" w:rsidRPr="00F31AEC" w:rsidRDefault="00C735D8" w:rsidP="00C735D8">
            <w:pPr>
              <w:wordWrap/>
              <w:spacing w:line="200" w:lineRule="exact"/>
              <w:rPr>
                <w:rFonts w:ascii="Times New Roman"/>
                <w:snapToGrid w:val="0"/>
                <w:sz w:val="16"/>
                <w:szCs w:val="16"/>
              </w:rPr>
            </w:pPr>
          </w:p>
        </w:tc>
        <w:tc>
          <w:tcPr>
            <w:tcW w:w="2359" w:type="dxa"/>
            <w:shd w:val="clear" w:color="auto" w:fill="F2F2F2"/>
          </w:tcPr>
          <w:p w:rsidR="00C735D8" w:rsidRPr="00013A02" w:rsidRDefault="00C735D8" w:rsidP="00C735D8">
            <w:pPr>
              <w:wordWrap/>
              <w:spacing w:line="200" w:lineRule="exact"/>
              <w:rPr>
                <w:rFonts w:ascii="Times New Roman" w:eastAsia="Times New Roman"/>
                <w:b/>
                <w:color w:val="00000A"/>
                <w:kern w:val="0"/>
                <w:sz w:val="16"/>
                <w:szCs w:val="16"/>
                <w:lang w:val="de-DE"/>
              </w:rPr>
            </w:pPr>
            <w:r w:rsidRPr="00013A02">
              <w:rPr>
                <w:rFonts w:ascii="Times New Roman" w:eastAsia="Times New Roman"/>
                <w:b/>
                <w:color w:val="00000A"/>
                <w:kern w:val="0"/>
                <w:sz w:val="16"/>
                <w:szCs w:val="16"/>
                <w:lang w:val="de-DE"/>
              </w:rPr>
              <w:t xml:space="preserve">Sabine </w:t>
            </w:r>
            <w:r w:rsidRPr="00CB1758">
              <w:rPr>
                <w:rFonts w:ascii="Times New Roman"/>
                <w:b/>
                <w:snapToGrid w:val="0"/>
                <w:sz w:val="16"/>
                <w:lang w:val="de-DE"/>
              </w:rPr>
              <w:t>Riedel</w:t>
            </w:r>
          </w:p>
          <w:p w:rsidR="00C735D8" w:rsidRPr="00013A02" w:rsidRDefault="00C735D8" w:rsidP="00C735D8">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rPr>
            </w:pPr>
            <w:r w:rsidRPr="00013A02">
              <w:rPr>
                <w:rFonts w:ascii="Times New Roman" w:eastAsia="Times New Roman"/>
                <w:color w:val="00000A"/>
                <w:kern w:val="0"/>
                <w:sz w:val="16"/>
                <w:szCs w:val="16"/>
                <w:lang w:val="de-DE"/>
              </w:rPr>
              <w:t>PR-Manager</w:t>
            </w:r>
          </w:p>
          <w:p w:rsidR="00C735D8" w:rsidRPr="007E0CC3" w:rsidRDefault="00C735D8" w:rsidP="00C735D8">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de-DE"/>
              </w:rPr>
            </w:pPr>
            <w:r w:rsidRPr="00013A02">
              <w:rPr>
                <w:rFonts w:ascii="Times New Roman" w:eastAsia="Times New Roman"/>
                <w:color w:val="00000A"/>
                <w:kern w:val="0"/>
                <w:sz w:val="16"/>
                <w:szCs w:val="16"/>
                <w:lang w:val="de-DE"/>
              </w:rPr>
              <w:t xml:space="preserve">Tel.: +49 (0) 6102 8149 </w:t>
            </w:r>
            <w:r w:rsidRPr="007E0CC3">
              <w:rPr>
                <w:rFonts w:ascii="Times New Roman" w:eastAsia="Times New Roman"/>
                <w:snapToGrid w:val="0"/>
                <w:color w:val="00000A"/>
                <w:kern w:val="0"/>
                <w:sz w:val="16"/>
                <w:szCs w:val="16"/>
                <w:lang w:val="de-DE"/>
              </w:rPr>
              <w:t>– 174</w:t>
            </w:r>
          </w:p>
          <w:p w:rsidR="00C735D8" w:rsidRPr="00013A02" w:rsidRDefault="00BB6067" w:rsidP="00C735D8">
            <w:pPr>
              <w:suppressAutoHyphens/>
              <w:wordWrap/>
              <w:autoSpaceDE/>
              <w:autoSpaceDN/>
              <w:spacing w:line="220" w:lineRule="exact"/>
              <w:rPr>
                <w:rFonts w:ascii="Times New Roman" w:eastAsia="Times New Roman"/>
                <w:color w:val="00000A"/>
                <w:kern w:val="0"/>
                <w:sz w:val="21"/>
                <w:szCs w:val="21"/>
              </w:rPr>
            </w:pPr>
            <w:hyperlink r:id="rId11" w:history="1">
              <w:r w:rsidR="00C735D8" w:rsidRPr="00013A02">
                <w:rPr>
                  <w:rFonts w:ascii="Times New Roman" w:eastAsia="Times New Roman"/>
                  <w:color w:val="0000FF"/>
                  <w:kern w:val="0"/>
                  <w:sz w:val="16"/>
                  <w:szCs w:val="16"/>
                  <w:u w:val="single"/>
                </w:rPr>
                <w:t>s.riedel@hankookreifen.de</w:t>
              </w:r>
            </w:hyperlink>
            <w:r w:rsidR="00C735D8" w:rsidRPr="00013A02">
              <w:rPr>
                <w:rFonts w:ascii="Times New Roman" w:eastAsia="Times New Roman"/>
                <w:color w:val="00000A"/>
                <w:kern w:val="0"/>
                <w:sz w:val="16"/>
                <w:szCs w:val="16"/>
              </w:rPr>
              <w:t xml:space="preserve"> </w:t>
            </w:r>
          </w:p>
        </w:tc>
        <w:tc>
          <w:tcPr>
            <w:tcW w:w="2359" w:type="dxa"/>
            <w:shd w:val="clear" w:color="auto" w:fill="F2F2F2"/>
          </w:tcPr>
          <w:p w:rsidR="00C735D8" w:rsidRPr="004D6945" w:rsidRDefault="00C735D8" w:rsidP="00C735D8">
            <w:pPr>
              <w:wordWrap/>
              <w:spacing w:line="200" w:lineRule="exact"/>
              <w:rPr>
                <w:rFonts w:ascii="Times New Roman"/>
                <w:sz w:val="21"/>
                <w:szCs w:val="21"/>
              </w:rPr>
            </w:pPr>
          </w:p>
        </w:tc>
        <w:tc>
          <w:tcPr>
            <w:tcW w:w="2360" w:type="dxa"/>
            <w:shd w:val="clear" w:color="auto" w:fill="F2F2F2"/>
          </w:tcPr>
          <w:p w:rsidR="00C735D8" w:rsidRPr="004D6945" w:rsidRDefault="00C735D8" w:rsidP="00C735D8">
            <w:pPr>
              <w:wordWrap/>
              <w:spacing w:line="200" w:lineRule="exact"/>
              <w:rPr>
                <w:rFonts w:ascii="Times New Roman"/>
                <w:sz w:val="21"/>
                <w:szCs w:val="21"/>
              </w:rPr>
            </w:pPr>
          </w:p>
        </w:tc>
      </w:tr>
    </w:tbl>
    <w:p w:rsidR="00C764D7" w:rsidRPr="004D6945" w:rsidRDefault="00C764D7" w:rsidP="00C764D7">
      <w:pPr>
        <w:tabs>
          <w:tab w:val="left" w:pos="142"/>
        </w:tabs>
        <w:wordWrap/>
        <w:rPr>
          <w:rFonts w:ascii="Times New Roman" w:eastAsia="Times New Roman"/>
          <w:kern w:val="0"/>
          <w:sz w:val="21"/>
          <w:szCs w:val="21"/>
        </w:rPr>
      </w:pPr>
    </w:p>
    <w:p w:rsidR="00C764D7" w:rsidRPr="004D6945" w:rsidRDefault="00C764D7" w:rsidP="00C764D7"/>
    <w:p w:rsidR="003A269D" w:rsidRPr="004D6945" w:rsidRDefault="003A269D"/>
    <w:sectPr w:rsidR="003A269D" w:rsidRPr="004D6945" w:rsidSect="006F073B">
      <w:headerReference w:type="default" r:id="rId12"/>
      <w:pgSz w:w="11906" w:h="16838"/>
      <w:pgMar w:top="2127"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067" w:rsidRDefault="00BB6067">
      <w:r>
        <w:separator/>
      </w:r>
    </w:p>
  </w:endnote>
  <w:endnote w:type="continuationSeparator" w:id="0">
    <w:p w:rsidR="00BB6067" w:rsidRDefault="00BB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067" w:rsidRDefault="00BB6067">
      <w:r>
        <w:separator/>
      </w:r>
    </w:p>
  </w:footnote>
  <w:footnote w:type="continuationSeparator" w:id="0">
    <w:p w:rsidR="00BB6067" w:rsidRDefault="00BB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CD" w:rsidRDefault="00C2379A">
    <w:pPr>
      <w:pStyle w:val="Kopfzeile"/>
    </w:pPr>
    <w:r>
      <w:rPr>
        <w:noProof/>
        <w:lang w:val="de-DE" w:eastAsia="de-DE" w:bidi="ar-SA"/>
      </w:rPr>
      <w:drawing>
        <wp:inline distT="0" distB="0" distL="0" distR="0">
          <wp:extent cx="5903595" cy="5651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46C51"/>
    <w:rsid w:val="000567B4"/>
    <w:rsid w:val="00056AD3"/>
    <w:rsid w:val="000A333A"/>
    <w:rsid w:val="000D3FFA"/>
    <w:rsid w:val="000E582A"/>
    <w:rsid w:val="00114E67"/>
    <w:rsid w:val="00122EE6"/>
    <w:rsid w:val="001352D8"/>
    <w:rsid w:val="001A485C"/>
    <w:rsid w:val="001C16AF"/>
    <w:rsid w:val="001E7C2A"/>
    <w:rsid w:val="00227D48"/>
    <w:rsid w:val="0025619D"/>
    <w:rsid w:val="00276A82"/>
    <w:rsid w:val="00286DAF"/>
    <w:rsid w:val="002D14B7"/>
    <w:rsid w:val="00317CCA"/>
    <w:rsid w:val="003262D5"/>
    <w:rsid w:val="0033517C"/>
    <w:rsid w:val="00353314"/>
    <w:rsid w:val="00390C17"/>
    <w:rsid w:val="003A269D"/>
    <w:rsid w:val="003B025B"/>
    <w:rsid w:val="00407C1A"/>
    <w:rsid w:val="004168A6"/>
    <w:rsid w:val="00465171"/>
    <w:rsid w:val="0049792E"/>
    <w:rsid w:val="004D5D87"/>
    <w:rsid w:val="004D6945"/>
    <w:rsid w:val="00501339"/>
    <w:rsid w:val="00527A37"/>
    <w:rsid w:val="00533116"/>
    <w:rsid w:val="00544847"/>
    <w:rsid w:val="005465CD"/>
    <w:rsid w:val="0054678E"/>
    <w:rsid w:val="0055710D"/>
    <w:rsid w:val="00585057"/>
    <w:rsid w:val="005D6C81"/>
    <w:rsid w:val="005F1C51"/>
    <w:rsid w:val="00632732"/>
    <w:rsid w:val="00647AA1"/>
    <w:rsid w:val="006D5BF5"/>
    <w:rsid w:val="006F073B"/>
    <w:rsid w:val="00705B5E"/>
    <w:rsid w:val="0073564C"/>
    <w:rsid w:val="008158BA"/>
    <w:rsid w:val="00863AB8"/>
    <w:rsid w:val="00873F2C"/>
    <w:rsid w:val="00896583"/>
    <w:rsid w:val="008C590C"/>
    <w:rsid w:val="009E0A77"/>
    <w:rsid w:val="009E38DE"/>
    <w:rsid w:val="009F46D2"/>
    <w:rsid w:val="00A30768"/>
    <w:rsid w:val="00A50028"/>
    <w:rsid w:val="00AC27A2"/>
    <w:rsid w:val="00AC371D"/>
    <w:rsid w:val="00AD6366"/>
    <w:rsid w:val="00AF0372"/>
    <w:rsid w:val="00AF201C"/>
    <w:rsid w:val="00B23750"/>
    <w:rsid w:val="00B23F74"/>
    <w:rsid w:val="00B519F1"/>
    <w:rsid w:val="00B71628"/>
    <w:rsid w:val="00B749EB"/>
    <w:rsid w:val="00B776BA"/>
    <w:rsid w:val="00B835E6"/>
    <w:rsid w:val="00BB6067"/>
    <w:rsid w:val="00BC422B"/>
    <w:rsid w:val="00C01E3D"/>
    <w:rsid w:val="00C2379A"/>
    <w:rsid w:val="00C735D8"/>
    <w:rsid w:val="00C764D7"/>
    <w:rsid w:val="00CB1758"/>
    <w:rsid w:val="00D179F9"/>
    <w:rsid w:val="00D62902"/>
    <w:rsid w:val="00DA28A9"/>
    <w:rsid w:val="00DB4857"/>
    <w:rsid w:val="00DB793D"/>
    <w:rsid w:val="00DE311A"/>
    <w:rsid w:val="00E81F2E"/>
    <w:rsid w:val="00EA6A67"/>
    <w:rsid w:val="00EB440A"/>
    <w:rsid w:val="00EB5899"/>
    <w:rsid w:val="00F01381"/>
    <w:rsid w:val="00F221D4"/>
    <w:rsid w:val="00F32136"/>
    <w:rsid w:val="00F4147E"/>
    <w:rsid w:val="00F636C7"/>
    <w:rsid w:val="00F93CC8"/>
    <w:rsid w:val="00FB6C9E"/>
    <w:rsid w:val="00FC6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0BE0"/>
  <w15:docId w15:val="{E0FE3533-856C-41A3-B395-D712095B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en-GB"/>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lang w:eastAsia="en-GB"/>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ascii="Times New Roman" w:eastAsia="Calibri"/>
      <w:kern w:val="0"/>
      <w:sz w:val="24"/>
    </w:rPr>
  </w:style>
  <w:style w:type="table" w:styleId="Tabellenraster">
    <w:name w:val="Table Grid"/>
    <w:aliases w:val="table general,_0Table Grid"/>
    <w:basedOn w:val="NormaleTabelle"/>
    <w:rsid w:val="00C735D8"/>
    <w:pPr>
      <w:widowControl w:val="0"/>
      <w:wordWrap w:val="0"/>
      <w:autoSpaceDE w:val="0"/>
      <w:autoSpaceDN w:val="0"/>
      <w:spacing w:after="0" w:line="240" w:lineRule="auto"/>
      <w:jc w:val="both"/>
    </w:pPr>
    <w:rPr>
      <w:rFonts w:ascii="Times New Roman" w:eastAsia="Batang" w:hAnsi="Times New Roman" w:cs="Times New Roman"/>
      <w:sz w:val="20"/>
      <w:szCs w:val="20"/>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16AF"/>
    <w:rPr>
      <w:sz w:val="16"/>
      <w:szCs w:val="16"/>
    </w:rPr>
  </w:style>
  <w:style w:type="paragraph" w:styleId="Kommentartext">
    <w:name w:val="annotation text"/>
    <w:basedOn w:val="Standard"/>
    <w:link w:val="KommentartextZchn"/>
    <w:uiPriority w:val="99"/>
    <w:semiHidden/>
    <w:unhideWhenUsed/>
    <w:rsid w:val="001C16AF"/>
    <w:rPr>
      <w:szCs w:val="20"/>
    </w:rPr>
  </w:style>
  <w:style w:type="character" w:customStyle="1" w:styleId="KommentartextZchn">
    <w:name w:val="Kommentartext Zchn"/>
    <w:basedOn w:val="Absatz-Standardschriftart"/>
    <w:link w:val="Kommentartext"/>
    <w:uiPriority w:val="99"/>
    <w:semiHidden/>
    <w:rsid w:val="001C16AF"/>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1C16AF"/>
    <w:rPr>
      <w:b/>
      <w:bCs/>
    </w:rPr>
  </w:style>
  <w:style w:type="character" w:customStyle="1" w:styleId="KommentarthemaZchn">
    <w:name w:val="Kommentarthema Zchn"/>
    <w:basedOn w:val="KommentartextZchn"/>
    <w:link w:val="Kommentarthema"/>
    <w:uiPriority w:val="99"/>
    <w:semiHidden/>
    <w:rsid w:val="001C16AF"/>
    <w:rPr>
      <w:rFonts w:ascii="Batang" w:eastAsia="Batang"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8&amp;L=2&amp;fl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9EEC-D2AA-4F78-AE27-545A410F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7</cp:revision>
  <cp:lastPrinted>2018-02-08T16:23:00Z</cp:lastPrinted>
  <dcterms:created xsi:type="dcterms:W3CDTF">2018-02-08T17:43:00Z</dcterms:created>
  <dcterms:modified xsi:type="dcterms:W3CDTF">2018-02-09T08:09:00Z</dcterms:modified>
</cp:coreProperties>
</file>