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1DD" w:rsidRPr="004D2E6A" w:rsidRDefault="00B971DD" w:rsidP="004D7C3A">
      <w:pPr>
        <w:wordWrap/>
        <w:adjustRightInd w:val="0"/>
        <w:snapToGrid w:val="0"/>
        <w:spacing w:line="276" w:lineRule="auto"/>
        <w:jc w:val="center"/>
        <w:rPr>
          <w:rFonts w:ascii="Arial" w:eastAsia="Malgun Gothic" w:hAnsi="Arial" w:cs="Arial"/>
          <w:b/>
          <w:color w:val="FF6600"/>
          <w:spacing w:val="-10"/>
          <w:sz w:val="32"/>
          <w:szCs w:val="30"/>
        </w:rPr>
      </w:pPr>
      <w:bookmarkStart w:id="0" w:name="OLE_LINK4"/>
      <w:bookmarkStart w:id="1" w:name="OLE_LINK5"/>
      <w:bookmarkStart w:id="2" w:name="_Hlk495919348"/>
      <w:r w:rsidRPr="004D2E6A">
        <w:rPr>
          <w:rFonts w:ascii="Arial" w:hAnsi="Arial" w:cs="Arial"/>
          <w:b/>
          <w:color w:val="FF6600"/>
          <w:sz w:val="32"/>
          <w:szCs w:val="30"/>
        </w:rPr>
        <w:t>Hankook Tire publiceert de financiële resultaten</w:t>
      </w:r>
      <w:r w:rsidRPr="004D2E6A">
        <w:rPr>
          <w:rFonts w:ascii="Arial" w:hAnsi="Arial" w:cs="Arial"/>
          <w:b/>
          <w:color w:val="FF6600"/>
          <w:sz w:val="32"/>
          <w:szCs w:val="30"/>
        </w:rPr>
        <w:br/>
        <w:t>over het derde kwartaal van 2017</w:t>
      </w:r>
      <w:bookmarkEnd w:id="0"/>
      <w:bookmarkEnd w:id="1"/>
    </w:p>
    <w:p w:rsidR="00B971DD" w:rsidRPr="004D7C3A" w:rsidRDefault="00B971DD" w:rsidP="00B971DD">
      <w:pPr>
        <w:wordWrap/>
        <w:adjustRightInd w:val="0"/>
        <w:snapToGrid w:val="0"/>
        <w:spacing w:line="276" w:lineRule="auto"/>
        <w:rPr>
          <w:rFonts w:ascii="Times New Roman" w:eastAsia="Malgun Gothic"/>
          <w:b/>
          <w:bCs/>
          <w:spacing w:val="-6"/>
          <w:sz w:val="24"/>
          <w:szCs w:val="16"/>
        </w:rPr>
      </w:pPr>
    </w:p>
    <w:p w:rsidR="00B971DD" w:rsidRPr="004D7C3A" w:rsidRDefault="00B971DD" w:rsidP="00B971DD">
      <w:pPr>
        <w:widowControl/>
        <w:wordWrap/>
        <w:autoSpaceDE/>
        <w:autoSpaceDN/>
        <w:snapToGrid w:val="0"/>
        <w:spacing w:line="276" w:lineRule="auto"/>
        <w:ind w:right="-30"/>
        <w:rPr>
          <w:rFonts w:ascii="Times New Roman"/>
          <w:b/>
          <w:iCs/>
          <w:color w:val="000000" w:themeColor="text1"/>
          <w:kern w:val="0"/>
          <w:sz w:val="22"/>
          <w:szCs w:val="22"/>
        </w:rPr>
      </w:pPr>
      <w:r w:rsidRPr="004D7C3A">
        <w:rPr>
          <w:rFonts w:ascii="Times New Roman"/>
          <w:b/>
          <w:iCs/>
          <w:color w:val="000000" w:themeColor="text1"/>
          <w:sz w:val="22"/>
          <w:szCs w:val="22"/>
        </w:rPr>
        <w:t>Hankook Tire realiseerde in het derde kwartaal van 2017 een wereldwijde omzet van 1,824 biljoen KRW en een bedrijfsresultaat van 214,1 miljard KRW. De financiële resultaten werden versterkt door de verhoogde verkoop van de ultra-high-performance banden (UHPT) in Europa en China.</w:t>
      </w:r>
    </w:p>
    <w:p w:rsidR="00B971DD" w:rsidRPr="004D7C3A" w:rsidRDefault="00B971DD" w:rsidP="00B971DD">
      <w:pPr>
        <w:wordWrap/>
        <w:spacing w:line="276" w:lineRule="auto"/>
        <w:rPr>
          <w:rFonts w:ascii="Times New Roman" w:eastAsia="Malgun Gothic"/>
          <w:kern w:val="0"/>
          <w:sz w:val="24"/>
          <w:szCs w:val="22"/>
        </w:rPr>
      </w:pPr>
    </w:p>
    <w:p w:rsidR="00B971DD" w:rsidRPr="004D7C3A" w:rsidRDefault="00B971DD" w:rsidP="00B668C5">
      <w:pPr>
        <w:wordWrap/>
        <w:spacing w:line="276" w:lineRule="auto"/>
        <w:rPr>
          <w:rFonts w:ascii="Times New Roman" w:eastAsia="Malgun Gothic"/>
          <w:kern w:val="0"/>
          <w:sz w:val="21"/>
          <w:szCs w:val="21"/>
        </w:rPr>
      </w:pPr>
      <w:r w:rsidRPr="004D7C3A">
        <w:rPr>
          <w:rFonts w:ascii="Times New Roman"/>
          <w:b/>
          <w:i/>
          <w:sz w:val="21"/>
          <w:szCs w:val="21"/>
        </w:rPr>
        <w:t xml:space="preserve">Seoul, Korea/Neu-Isenburg, Duitsland, </w:t>
      </w:r>
      <w:r w:rsidR="00847FE3">
        <w:rPr>
          <w:rFonts w:ascii="Times New Roman"/>
          <w:b/>
          <w:i/>
          <w:sz w:val="21"/>
          <w:szCs w:val="21"/>
        </w:rPr>
        <w:t>8</w:t>
      </w:r>
      <w:r w:rsidRPr="004D7C3A">
        <w:rPr>
          <w:rFonts w:ascii="Times New Roman"/>
          <w:b/>
          <w:i/>
          <w:sz w:val="21"/>
          <w:szCs w:val="21"/>
        </w:rPr>
        <w:t xml:space="preserve"> november 2017</w:t>
      </w:r>
      <w:r w:rsidRPr="004D7C3A">
        <w:rPr>
          <w:rFonts w:ascii="Times New Roman"/>
          <w:sz w:val="21"/>
          <w:szCs w:val="21"/>
        </w:rPr>
        <w:t xml:space="preserve"> – Hankook Tire, maker van kwaliteitsbanden maakt bekend dat de wereldwijde omzet in het derde kwartaal van 2017 1,824 biljoen KRW (1,371 miljard Euro) bedraagt met een bedrijfsresultaat van 214,1 miljard KRW (161 miljoen Euro).</w:t>
      </w:r>
    </w:p>
    <w:p w:rsidR="00B971DD" w:rsidRPr="004D7C3A" w:rsidRDefault="00B971DD" w:rsidP="00B668C5">
      <w:pPr>
        <w:wordWrap/>
        <w:spacing w:line="276" w:lineRule="auto"/>
        <w:rPr>
          <w:rFonts w:ascii="Times New Roman" w:eastAsia="Malgun Gothic"/>
          <w:kern w:val="0"/>
          <w:sz w:val="21"/>
          <w:szCs w:val="21"/>
        </w:rPr>
      </w:pPr>
    </w:p>
    <w:p w:rsidR="00B971DD" w:rsidRPr="004D7C3A" w:rsidRDefault="00B971DD" w:rsidP="00B668C5">
      <w:pPr>
        <w:wordWrap/>
        <w:spacing w:line="276" w:lineRule="auto"/>
        <w:rPr>
          <w:rFonts w:ascii="Times New Roman" w:eastAsia="Malgun Gothic"/>
          <w:kern w:val="0"/>
          <w:sz w:val="21"/>
          <w:szCs w:val="21"/>
        </w:rPr>
      </w:pPr>
      <w:r w:rsidRPr="004D7C3A">
        <w:rPr>
          <w:rFonts w:ascii="Times New Roman"/>
          <w:sz w:val="21"/>
          <w:szCs w:val="21"/>
        </w:rPr>
        <w:t>Vergeleken met het tweede kwartaal van 2017 is de totale omzet en het bedrijfsresultaat met respectievelijk 9,5% en 4,6% gegroeid. Vergeleken met het derde kwartaal van 2016, is de totale omzet met 10% gegroeid en het bedrijfsresultaat met 29,2% gedaald.</w:t>
      </w:r>
    </w:p>
    <w:p w:rsidR="00B971DD" w:rsidRPr="004D7C3A" w:rsidRDefault="00B971DD" w:rsidP="00B668C5">
      <w:pPr>
        <w:wordWrap/>
        <w:spacing w:line="276" w:lineRule="auto"/>
        <w:rPr>
          <w:rFonts w:ascii="Times New Roman" w:eastAsia="Malgun Gothic"/>
          <w:kern w:val="0"/>
          <w:sz w:val="21"/>
          <w:szCs w:val="21"/>
        </w:rPr>
      </w:pPr>
    </w:p>
    <w:p w:rsidR="001C366A" w:rsidRPr="00637593" w:rsidRDefault="00B971DD" w:rsidP="00637593">
      <w:pPr>
        <w:wordWrap/>
        <w:spacing w:line="276" w:lineRule="auto"/>
        <w:rPr>
          <w:rFonts w:ascii="Times New Roman" w:eastAsia="Malgun Gothic"/>
          <w:kern w:val="0"/>
          <w:sz w:val="21"/>
          <w:szCs w:val="21"/>
        </w:rPr>
      </w:pPr>
      <w:r w:rsidRPr="004D7C3A">
        <w:rPr>
          <w:rFonts w:ascii="Times New Roman"/>
          <w:sz w:val="21"/>
          <w:szCs w:val="21"/>
        </w:rPr>
        <w:t>De groei in de omzet komt voor rekening van de stabiele omzet van de ultra-high-performance banden (UHPT) en de grotere omzet in winterbanden in Europa. Bovendien heeft de sterke groei in het UHPT-segment en een uitgebreidere levering van af fabriek gemonteerde banden (OEM-banden) op de Chinese markt de omzetgroei gestimuleerd. De verkopen in groeimarkten in de ASEAN-regio, zoals Indonesië, dragen ook bij aan de stijging van de omzet.</w:t>
      </w:r>
    </w:p>
    <w:p w:rsidR="006828AF" w:rsidRDefault="006828AF" w:rsidP="006828AF">
      <w:pPr>
        <w:wordWrap/>
        <w:spacing w:line="276" w:lineRule="auto"/>
        <w:rPr>
          <w:rFonts w:ascii="Times New Roman"/>
          <w:b/>
          <w:color w:val="000000"/>
          <w:sz w:val="22"/>
          <w:szCs w:val="22"/>
        </w:rPr>
      </w:pPr>
    </w:p>
    <w:p w:rsidR="00637593" w:rsidRDefault="00637593" w:rsidP="006828AF">
      <w:pPr>
        <w:wordWrap/>
        <w:spacing w:line="276" w:lineRule="auto"/>
        <w:rPr>
          <w:rFonts w:ascii="Times New Roman"/>
          <w:b/>
          <w:color w:val="000000"/>
          <w:sz w:val="22"/>
          <w:szCs w:val="22"/>
        </w:rPr>
      </w:pPr>
    </w:p>
    <w:p w:rsidR="00637593" w:rsidRPr="004D7C3A" w:rsidRDefault="00637593" w:rsidP="006828AF">
      <w:pPr>
        <w:wordWrap/>
        <w:spacing w:line="276" w:lineRule="auto"/>
        <w:rPr>
          <w:rFonts w:ascii="Times New Roman"/>
          <w:b/>
          <w:color w:val="000000"/>
          <w:sz w:val="22"/>
          <w:szCs w:val="22"/>
        </w:rPr>
      </w:pPr>
    </w:p>
    <w:p w:rsidR="002C1F90" w:rsidRPr="001C366A" w:rsidRDefault="002C1F90" w:rsidP="00003C7D">
      <w:pPr>
        <w:wordWrap/>
        <w:spacing w:line="276" w:lineRule="auto"/>
        <w:ind w:firstLineChars="50" w:firstLine="108"/>
        <w:rPr>
          <w:rFonts w:ascii="Arial" w:hAnsi="Arial" w:cs="Arial"/>
          <w:b/>
          <w:color w:val="000000"/>
          <w:sz w:val="22"/>
          <w:szCs w:val="22"/>
        </w:rPr>
      </w:pPr>
      <w:r w:rsidRPr="001C366A">
        <w:rPr>
          <w:rFonts w:ascii="Arial" w:hAnsi="Arial" w:cs="Arial"/>
          <w:b/>
          <w:color w:val="000000"/>
          <w:sz w:val="22"/>
          <w:szCs w:val="22"/>
        </w:rPr>
        <w:t>Geconsolideerd financieel resultaat 3</w:t>
      </w:r>
      <w:r w:rsidRPr="001C366A">
        <w:rPr>
          <w:rFonts w:ascii="Arial" w:hAnsi="Arial" w:cs="Arial"/>
          <w:b/>
          <w:color w:val="000000"/>
          <w:sz w:val="22"/>
          <w:szCs w:val="22"/>
          <w:vertAlign w:val="superscript"/>
        </w:rPr>
        <w:t>e</w:t>
      </w:r>
      <w:r w:rsidRPr="001C366A">
        <w:rPr>
          <w:rFonts w:ascii="Arial" w:hAnsi="Arial" w:cs="Arial"/>
          <w:b/>
          <w:color w:val="000000"/>
          <w:sz w:val="22"/>
          <w:szCs w:val="22"/>
        </w:rPr>
        <w:t xml:space="preserve"> kwartaal 2017</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3"/>
        <w:gridCol w:w="2384"/>
        <w:gridCol w:w="2384"/>
        <w:gridCol w:w="2384"/>
      </w:tblGrid>
      <w:tr w:rsidR="002C1F90" w:rsidRPr="001C366A" w:rsidTr="00570847">
        <w:trPr>
          <w:trHeight w:val="312"/>
        </w:trPr>
        <w:tc>
          <w:tcPr>
            <w:tcW w:w="2383" w:type="dxa"/>
            <w:shd w:val="clear" w:color="auto" w:fill="7F7F7F" w:themeFill="text1" w:themeFillTint="80"/>
            <w:noWrap/>
            <w:tcMar>
              <w:top w:w="0" w:type="dxa"/>
              <w:left w:w="99" w:type="dxa"/>
              <w:bottom w:w="0" w:type="dxa"/>
              <w:right w:w="99" w:type="dxa"/>
            </w:tcMar>
            <w:vAlign w:val="center"/>
            <w:hideMark/>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color w:val="FFFFFF" w:themeColor="background1"/>
                <w:szCs w:val="20"/>
              </w:rPr>
              <w:t>(Eenheid: miljard KRW)</w:t>
            </w:r>
          </w:p>
        </w:tc>
        <w:tc>
          <w:tcPr>
            <w:tcW w:w="2384" w:type="dxa"/>
            <w:shd w:val="clear" w:color="auto" w:fill="7F7F7F" w:themeFill="text1" w:themeFillTint="80"/>
            <w:noWrap/>
            <w:tcMar>
              <w:top w:w="0" w:type="dxa"/>
              <w:left w:w="99" w:type="dxa"/>
              <w:bottom w:w="0" w:type="dxa"/>
              <w:right w:w="99" w:type="dxa"/>
            </w:tcMar>
            <w:vAlign w:val="center"/>
            <w:hideMark/>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3</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2016</w:t>
            </w:r>
          </w:p>
        </w:tc>
        <w:tc>
          <w:tcPr>
            <w:tcW w:w="2384" w:type="dxa"/>
            <w:shd w:val="clear" w:color="auto" w:fill="7F7F7F" w:themeFill="text1" w:themeFillTint="80"/>
            <w:tcMar>
              <w:top w:w="0" w:type="dxa"/>
              <w:left w:w="99" w:type="dxa"/>
              <w:bottom w:w="0" w:type="dxa"/>
              <w:right w:w="99" w:type="dxa"/>
            </w:tcMar>
            <w:vAlign w:val="center"/>
            <w:hideMark/>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2</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2017</w:t>
            </w:r>
          </w:p>
        </w:tc>
        <w:tc>
          <w:tcPr>
            <w:tcW w:w="2384" w:type="dxa"/>
            <w:shd w:val="clear" w:color="auto" w:fill="7F7F7F" w:themeFill="text1" w:themeFillTint="80"/>
            <w:tcMar>
              <w:top w:w="0" w:type="dxa"/>
              <w:left w:w="99" w:type="dxa"/>
              <w:bottom w:w="0" w:type="dxa"/>
              <w:right w:w="99" w:type="dxa"/>
            </w:tcMar>
            <w:vAlign w:val="center"/>
            <w:hideMark/>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3</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2017</w:t>
            </w:r>
          </w:p>
        </w:tc>
      </w:tr>
      <w:tr w:rsidR="002C1F90" w:rsidRPr="001C366A" w:rsidTr="00570847">
        <w:trPr>
          <w:trHeight w:val="312"/>
        </w:trPr>
        <w:tc>
          <w:tcPr>
            <w:tcW w:w="2383" w:type="dxa"/>
            <w:shd w:val="clear" w:color="auto" w:fill="F2F2F2"/>
            <w:noWrap/>
            <w:tcMar>
              <w:top w:w="0" w:type="dxa"/>
              <w:left w:w="99" w:type="dxa"/>
              <w:bottom w:w="0" w:type="dxa"/>
              <w:right w:w="99" w:type="dxa"/>
            </w:tcMar>
            <w:vAlign w:val="center"/>
            <w:hideMark/>
          </w:tcPr>
          <w:p w:rsidR="002C1F90" w:rsidRPr="001C366A" w:rsidRDefault="002C1F90" w:rsidP="00570847">
            <w:pPr>
              <w:spacing w:line="276" w:lineRule="auto"/>
              <w:jc w:val="center"/>
              <w:rPr>
                <w:rFonts w:ascii="Arial" w:eastAsiaTheme="minorHAnsi" w:hAnsi="Arial" w:cs="Arial"/>
                <w:bCs/>
                <w:szCs w:val="20"/>
              </w:rPr>
            </w:pPr>
            <w:r w:rsidRPr="001C366A">
              <w:rPr>
                <w:rFonts w:ascii="Arial" w:hAnsi="Arial" w:cs="Arial"/>
                <w:bCs/>
                <w:szCs w:val="20"/>
              </w:rPr>
              <w:t>Verkoop</w:t>
            </w:r>
          </w:p>
        </w:tc>
        <w:tc>
          <w:tcPr>
            <w:tcW w:w="2384" w:type="dxa"/>
            <w:noWrap/>
            <w:tcMar>
              <w:top w:w="0" w:type="dxa"/>
              <w:left w:w="99" w:type="dxa"/>
              <w:bottom w:w="0" w:type="dxa"/>
              <w:right w:w="99" w:type="dxa"/>
            </w:tcMar>
            <w:vAlign w:val="center"/>
          </w:tcPr>
          <w:p w:rsidR="002C1F90" w:rsidRPr="001C366A" w:rsidRDefault="002C1F90" w:rsidP="00570847">
            <w:pPr>
              <w:jc w:val="center"/>
              <w:rPr>
                <w:rFonts w:ascii="Arial" w:eastAsia="Malgun Gothic" w:hAnsi="Arial" w:cs="Arial"/>
                <w:bCs/>
                <w:color w:val="000000"/>
                <w:szCs w:val="20"/>
              </w:rPr>
            </w:pPr>
            <w:r w:rsidRPr="001C366A">
              <w:rPr>
                <w:rFonts w:ascii="Arial" w:hAnsi="Arial" w:cs="Arial"/>
                <w:bCs/>
                <w:color w:val="000000"/>
                <w:szCs w:val="20"/>
              </w:rPr>
              <w:t>1.657,6</w:t>
            </w:r>
          </w:p>
        </w:tc>
        <w:tc>
          <w:tcPr>
            <w:tcW w:w="2384" w:type="dxa"/>
            <w:tcMar>
              <w:top w:w="0" w:type="dxa"/>
              <w:left w:w="99" w:type="dxa"/>
              <w:bottom w:w="0" w:type="dxa"/>
              <w:right w:w="99" w:type="dxa"/>
            </w:tcMar>
            <w:vAlign w:val="center"/>
          </w:tcPr>
          <w:p w:rsidR="002C1F90" w:rsidRPr="001C366A" w:rsidRDefault="002C1F90" w:rsidP="00570847">
            <w:pPr>
              <w:spacing w:line="276" w:lineRule="auto"/>
              <w:jc w:val="center"/>
              <w:rPr>
                <w:rFonts w:ascii="Arial" w:eastAsiaTheme="minorHAnsi" w:hAnsi="Arial" w:cs="Arial"/>
                <w:bCs/>
                <w:color w:val="000000"/>
              </w:rPr>
            </w:pPr>
            <w:r w:rsidRPr="001C366A">
              <w:rPr>
                <w:rFonts w:ascii="Arial" w:hAnsi="Arial" w:cs="Arial"/>
                <w:bCs/>
                <w:color w:val="000000"/>
              </w:rPr>
              <w:t>1.666,9</w:t>
            </w:r>
          </w:p>
        </w:tc>
        <w:tc>
          <w:tcPr>
            <w:tcW w:w="2384" w:type="dxa"/>
            <w:tcMar>
              <w:top w:w="0" w:type="dxa"/>
              <w:left w:w="99" w:type="dxa"/>
              <w:bottom w:w="0" w:type="dxa"/>
              <w:right w:w="99" w:type="dxa"/>
            </w:tcMar>
            <w:textDirection w:val="lrTbV"/>
            <w:vAlign w:val="center"/>
          </w:tcPr>
          <w:p w:rsidR="002C1F90" w:rsidRPr="001C366A" w:rsidRDefault="002C1F90" w:rsidP="00570847">
            <w:pPr>
              <w:spacing w:line="276" w:lineRule="auto"/>
              <w:jc w:val="center"/>
              <w:rPr>
                <w:rFonts w:ascii="Arial" w:eastAsiaTheme="minorHAnsi" w:hAnsi="Arial" w:cs="Arial"/>
                <w:bCs/>
                <w:color w:val="000000"/>
              </w:rPr>
            </w:pPr>
            <w:r w:rsidRPr="001C366A">
              <w:rPr>
                <w:rFonts w:ascii="Arial" w:hAnsi="Arial" w:cs="Arial"/>
                <w:bCs/>
                <w:color w:val="000000"/>
              </w:rPr>
              <w:t>1.824,5</w:t>
            </w:r>
          </w:p>
        </w:tc>
      </w:tr>
      <w:tr w:rsidR="002C1F90" w:rsidRPr="001C366A" w:rsidTr="00570847">
        <w:trPr>
          <w:trHeight w:val="312"/>
        </w:trPr>
        <w:tc>
          <w:tcPr>
            <w:tcW w:w="2383" w:type="dxa"/>
            <w:shd w:val="clear" w:color="auto" w:fill="F2F2F2"/>
            <w:noWrap/>
            <w:tcMar>
              <w:top w:w="0" w:type="dxa"/>
              <w:left w:w="99" w:type="dxa"/>
              <w:bottom w:w="0" w:type="dxa"/>
              <w:right w:w="99" w:type="dxa"/>
            </w:tcMar>
            <w:vAlign w:val="center"/>
            <w:hideMark/>
          </w:tcPr>
          <w:p w:rsidR="002C1F90" w:rsidRPr="001C366A" w:rsidRDefault="002C1F90" w:rsidP="00570847">
            <w:pPr>
              <w:spacing w:line="276" w:lineRule="auto"/>
              <w:jc w:val="center"/>
              <w:rPr>
                <w:rFonts w:ascii="Arial" w:eastAsiaTheme="minorHAnsi" w:hAnsi="Arial" w:cs="Arial"/>
                <w:bCs/>
                <w:szCs w:val="20"/>
              </w:rPr>
            </w:pPr>
            <w:r w:rsidRPr="001C366A">
              <w:rPr>
                <w:rFonts w:ascii="Arial" w:hAnsi="Arial" w:cs="Arial"/>
                <w:bCs/>
                <w:szCs w:val="20"/>
              </w:rPr>
              <w:t>Bedrijfsresultaat</w:t>
            </w:r>
          </w:p>
        </w:tc>
        <w:tc>
          <w:tcPr>
            <w:tcW w:w="2384" w:type="dxa"/>
            <w:noWrap/>
            <w:tcMar>
              <w:top w:w="0" w:type="dxa"/>
              <w:left w:w="99" w:type="dxa"/>
              <w:bottom w:w="0" w:type="dxa"/>
              <w:right w:w="99" w:type="dxa"/>
            </w:tcMar>
            <w:vAlign w:val="center"/>
          </w:tcPr>
          <w:p w:rsidR="002C1F90" w:rsidRPr="001C366A" w:rsidRDefault="002C1F90" w:rsidP="00570847">
            <w:pPr>
              <w:jc w:val="center"/>
              <w:rPr>
                <w:rFonts w:ascii="Arial" w:eastAsia="Malgun Gothic" w:hAnsi="Arial" w:cs="Arial"/>
                <w:bCs/>
                <w:color w:val="000000"/>
                <w:szCs w:val="20"/>
              </w:rPr>
            </w:pPr>
            <w:r w:rsidRPr="001C366A">
              <w:rPr>
                <w:rFonts w:ascii="Arial" w:hAnsi="Arial" w:cs="Arial"/>
                <w:bCs/>
                <w:color w:val="000000"/>
                <w:szCs w:val="20"/>
              </w:rPr>
              <w:t>302,6</w:t>
            </w:r>
          </w:p>
        </w:tc>
        <w:tc>
          <w:tcPr>
            <w:tcW w:w="2384" w:type="dxa"/>
            <w:tcMar>
              <w:top w:w="0" w:type="dxa"/>
              <w:left w:w="99" w:type="dxa"/>
              <w:bottom w:w="0" w:type="dxa"/>
              <w:right w:w="99" w:type="dxa"/>
            </w:tcMar>
            <w:vAlign w:val="center"/>
          </w:tcPr>
          <w:p w:rsidR="002C1F90" w:rsidRPr="001C366A" w:rsidRDefault="002C1F90" w:rsidP="00570847">
            <w:pPr>
              <w:spacing w:line="276" w:lineRule="auto"/>
              <w:jc w:val="center"/>
              <w:rPr>
                <w:rFonts w:ascii="Arial" w:eastAsiaTheme="minorHAnsi" w:hAnsi="Arial" w:cs="Arial"/>
                <w:bCs/>
                <w:color w:val="000000"/>
              </w:rPr>
            </w:pPr>
            <w:r w:rsidRPr="001C366A">
              <w:rPr>
                <w:rFonts w:ascii="Arial" w:hAnsi="Arial" w:cs="Arial"/>
                <w:bCs/>
                <w:color w:val="000000"/>
              </w:rPr>
              <w:t>204,6</w:t>
            </w:r>
          </w:p>
        </w:tc>
        <w:tc>
          <w:tcPr>
            <w:tcW w:w="2384" w:type="dxa"/>
            <w:tcMar>
              <w:top w:w="0" w:type="dxa"/>
              <w:left w:w="99" w:type="dxa"/>
              <w:bottom w:w="0" w:type="dxa"/>
              <w:right w:w="99" w:type="dxa"/>
            </w:tcMar>
            <w:textDirection w:val="lrTbV"/>
            <w:vAlign w:val="center"/>
          </w:tcPr>
          <w:p w:rsidR="002C1F90" w:rsidRPr="001C366A" w:rsidRDefault="002C1F90" w:rsidP="00570847">
            <w:pPr>
              <w:spacing w:line="276" w:lineRule="auto"/>
              <w:jc w:val="center"/>
              <w:rPr>
                <w:rFonts w:ascii="Arial" w:eastAsiaTheme="minorHAnsi" w:hAnsi="Arial" w:cs="Arial"/>
                <w:bCs/>
                <w:color w:val="000000"/>
              </w:rPr>
            </w:pPr>
            <w:r w:rsidRPr="001C366A">
              <w:rPr>
                <w:rFonts w:ascii="Arial" w:hAnsi="Arial" w:cs="Arial"/>
                <w:bCs/>
                <w:color w:val="000000"/>
              </w:rPr>
              <w:t>214,1</w:t>
            </w:r>
          </w:p>
        </w:tc>
      </w:tr>
    </w:tbl>
    <w:p w:rsidR="002C1F90" w:rsidRPr="001C366A" w:rsidRDefault="002C1F90" w:rsidP="002C1F90">
      <w:pPr>
        <w:wordWrap/>
        <w:spacing w:line="276" w:lineRule="auto"/>
        <w:rPr>
          <w:rFonts w:ascii="Arial" w:eastAsiaTheme="minorHAnsi" w:hAnsi="Arial" w:cs="Arial"/>
          <w:b/>
          <w:bCs/>
          <w:lang w:val="en-GB"/>
        </w:rPr>
      </w:pPr>
    </w:p>
    <w:tbl>
      <w:tblPr>
        <w:tblStyle w:val="Tabellenraster"/>
        <w:tblW w:w="9497" w:type="dxa"/>
        <w:tblInd w:w="137" w:type="dxa"/>
        <w:tblLook w:val="04A0" w:firstRow="1" w:lastRow="0" w:firstColumn="1" w:lastColumn="0" w:noHBand="0" w:noVBand="1"/>
      </w:tblPr>
      <w:tblGrid>
        <w:gridCol w:w="2374"/>
        <w:gridCol w:w="2374"/>
        <w:gridCol w:w="2374"/>
        <w:gridCol w:w="2375"/>
      </w:tblGrid>
      <w:tr w:rsidR="002C1F90" w:rsidRPr="001C366A" w:rsidTr="00570847">
        <w:trPr>
          <w:trHeight w:val="312"/>
        </w:trPr>
        <w:tc>
          <w:tcPr>
            <w:tcW w:w="2374"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18"/>
              </w:rPr>
            </w:pPr>
            <w:r w:rsidRPr="001C366A">
              <w:rPr>
                <w:rFonts w:ascii="Arial" w:hAnsi="Arial" w:cs="Arial"/>
                <w:b/>
                <w:bCs/>
                <w:color w:val="FFFFFF" w:themeColor="background1"/>
              </w:rPr>
              <w:t>(Eenheid: miljoen USD)</w:t>
            </w:r>
          </w:p>
        </w:tc>
        <w:tc>
          <w:tcPr>
            <w:tcW w:w="2374"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18"/>
              </w:rPr>
            </w:pPr>
            <w:r w:rsidRPr="001C366A">
              <w:rPr>
                <w:rFonts w:ascii="Arial" w:hAnsi="Arial" w:cs="Arial"/>
                <w:b/>
                <w:bCs/>
                <w:color w:val="FFFFFF" w:themeColor="background1"/>
                <w:szCs w:val="18"/>
              </w:rPr>
              <w:t>3</w:t>
            </w:r>
            <w:r w:rsidRPr="001C366A">
              <w:rPr>
                <w:rFonts w:ascii="Arial" w:hAnsi="Arial" w:cs="Arial"/>
                <w:b/>
                <w:bCs/>
                <w:color w:val="FFFFFF" w:themeColor="background1"/>
                <w:szCs w:val="18"/>
                <w:vertAlign w:val="superscript"/>
              </w:rPr>
              <w:t>e</w:t>
            </w:r>
            <w:r w:rsidRPr="001C366A">
              <w:rPr>
                <w:rFonts w:ascii="Arial" w:hAnsi="Arial" w:cs="Arial"/>
                <w:b/>
                <w:bCs/>
                <w:color w:val="FFFFFF" w:themeColor="background1"/>
                <w:szCs w:val="18"/>
              </w:rPr>
              <w:t xml:space="preserve"> kwartaal fiscaal jaar 2016</w:t>
            </w:r>
          </w:p>
        </w:tc>
        <w:tc>
          <w:tcPr>
            <w:tcW w:w="2374"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18"/>
              </w:rPr>
            </w:pPr>
            <w:r w:rsidRPr="001C366A">
              <w:rPr>
                <w:rFonts w:ascii="Arial" w:hAnsi="Arial" w:cs="Arial"/>
                <w:b/>
                <w:bCs/>
                <w:color w:val="FFFFFF" w:themeColor="background1"/>
                <w:szCs w:val="18"/>
              </w:rPr>
              <w:t>2</w:t>
            </w:r>
            <w:r w:rsidRPr="001C366A">
              <w:rPr>
                <w:rFonts w:ascii="Arial" w:hAnsi="Arial" w:cs="Arial"/>
                <w:b/>
                <w:bCs/>
                <w:color w:val="FFFFFF" w:themeColor="background1"/>
                <w:szCs w:val="18"/>
                <w:vertAlign w:val="superscript"/>
              </w:rPr>
              <w:t>e</w:t>
            </w:r>
            <w:r w:rsidRPr="001C366A">
              <w:rPr>
                <w:rFonts w:ascii="Arial" w:hAnsi="Arial" w:cs="Arial"/>
                <w:b/>
                <w:bCs/>
                <w:color w:val="FFFFFF" w:themeColor="background1"/>
                <w:szCs w:val="18"/>
              </w:rPr>
              <w:t xml:space="preserve"> kwartaal fiscaal jaar 2017</w:t>
            </w:r>
          </w:p>
        </w:tc>
        <w:tc>
          <w:tcPr>
            <w:tcW w:w="2375"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18"/>
              </w:rPr>
            </w:pPr>
            <w:r w:rsidRPr="001C366A">
              <w:rPr>
                <w:rFonts w:ascii="Arial" w:hAnsi="Arial" w:cs="Arial"/>
                <w:b/>
                <w:bCs/>
                <w:color w:val="FFFFFF" w:themeColor="background1"/>
                <w:szCs w:val="18"/>
              </w:rPr>
              <w:t>3</w:t>
            </w:r>
            <w:r w:rsidRPr="001C366A">
              <w:rPr>
                <w:rFonts w:ascii="Arial" w:hAnsi="Arial" w:cs="Arial"/>
                <w:b/>
                <w:bCs/>
                <w:color w:val="FFFFFF" w:themeColor="background1"/>
                <w:szCs w:val="18"/>
                <w:vertAlign w:val="superscript"/>
              </w:rPr>
              <w:t>e</w:t>
            </w:r>
            <w:r w:rsidRPr="001C366A">
              <w:rPr>
                <w:rFonts w:ascii="Arial" w:hAnsi="Arial" w:cs="Arial"/>
                <w:b/>
                <w:bCs/>
                <w:color w:val="FFFFFF" w:themeColor="background1"/>
                <w:szCs w:val="18"/>
              </w:rPr>
              <w:t xml:space="preserve"> kwartaal fiscaal jaar 2017</w:t>
            </w:r>
          </w:p>
        </w:tc>
      </w:tr>
      <w:tr w:rsidR="002C1F90" w:rsidRPr="001C366A" w:rsidTr="00570847">
        <w:trPr>
          <w:trHeight w:val="312"/>
        </w:trPr>
        <w:tc>
          <w:tcPr>
            <w:tcW w:w="2374" w:type="dxa"/>
            <w:shd w:val="clear" w:color="auto" w:fill="F2F2F2" w:themeFill="background1" w:themeFillShade="F2"/>
            <w:vAlign w:val="center"/>
          </w:tcPr>
          <w:p w:rsidR="002C1F90" w:rsidRPr="001C366A" w:rsidRDefault="002C1F90" w:rsidP="00570847">
            <w:pPr>
              <w:spacing w:line="276" w:lineRule="auto"/>
              <w:jc w:val="center"/>
              <w:rPr>
                <w:rFonts w:ascii="Arial" w:eastAsiaTheme="minorHAnsi" w:hAnsi="Arial" w:cs="Arial"/>
                <w:bCs/>
                <w:szCs w:val="18"/>
              </w:rPr>
            </w:pPr>
            <w:r w:rsidRPr="001C366A">
              <w:rPr>
                <w:rFonts w:ascii="Arial" w:hAnsi="Arial" w:cs="Arial"/>
                <w:bCs/>
                <w:szCs w:val="18"/>
              </w:rPr>
              <w:t>Verkoop</w:t>
            </w:r>
          </w:p>
        </w:tc>
        <w:tc>
          <w:tcPr>
            <w:tcW w:w="2374" w:type="dxa"/>
            <w:vAlign w:val="center"/>
          </w:tcPr>
          <w:p w:rsidR="002C1F90" w:rsidRPr="001C366A" w:rsidRDefault="002C1F90" w:rsidP="00570847">
            <w:pPr>
              <w:jc w:val="center"/>
              <w:rPr>
                <w:rFonts w:ascii="Arial" w:eastAsia="Malgun Gothic" w:hAnsi="Arial" w:cs="Arial"/>
                <w:bCs/>
                <w:szCs w:val="20"/>
              </w:rPr>
            </w:pPr>
            <w:r w:rsidRPr="001C366A">
              <w:rPr>
                <w:rFonts w:ascii="Arial" w:hAnsi="Arial" w:cs="Arial"/>
                <w:bCs/>
                <w:szCs w:val="20"/>
              </w:rPr>
              <w:t>1.478,1</w:t>
            </w:r>
          </w:p>
        </w:tc>
        <w:tc>
          <w:tcPr>
            <w:tcW w:w="2374" w:type="dxa"/>
            <w:vAlign w:val="center"/>
          </w:tcPr>
          <w:p w:rsidR="002C1F90" w:rsidRPr="001C366A" w:rsidRDefault="002C1F90" w:rsidP="00570847">
            <w:pPr>
              <w:wordWrap/>
              <w:spacing w:line="276" w:lineRule="auto"/>
              <w:jc w:val="center"/>
              <w:rPr>
                <w:rFonts w:ascii="Arial" w:eastAsiaTheme="minorHAnsi" w:hAnsi="Arial" w:cs="Arial"/>
                <w:bCs/>
              </w:rPr>
            </w:pPr>
            <w:r w:rsidRPr="001C366A">
              <w:rPr>
                <w:rFonts w:ascii="Arial" w:hAnsi="Arial" w:cs="Arial"/>
                <w:bCs/>
              </w:rPr>
              <w:t>1.475,8</w:t>
            </w:r>
          </w:p>
        </w:tc>
        <w:tc>
          <w:tcPr>
            <w:tcW w:w="2375" w:type="dxa"/>
            <w:vAlign w:val="center"/>
          </w:tcPr>
          <w:p w:rsidR="002C1F90" w:rsidRPr="001C366A" w:rsidRDefault="002C1F90" w:rsidP="00570847">
            <w:pPr>
              <w:wordWrap/>
              <w:spacing w:line="276" w:lineRule="auto"/>
              <w:jc w:val="center"/>
              <w:rPr>
                <w:rFonts w:ascii="Arial" w:eastAsiaTheme="minorHAnsi" w:hAnsi="Arial" w:cs="Arial"/>
                <w:bCs/>
                <w:color w:val="000000" w:themeColor="text1"/>
              </w:rPr>
            </w:pPr>
            <w:r w:rsidRPr="001C366A">
              <w:rPr>
                <w:rFonts w:ascii="Arial" w:hAnsi="Arial" w:cs="Arial"/>
                <w:bCs/>
                <w:color w:val="000000" w:themeColor="text1"/>
              </w:rPr>
              <w:t>1.611,4</w:t>
            </w:r>
          </w:p>
        </w:tc>
      </w:tr>
      <w:tr w:rsidR="002C1F90" w:rsidRPr="001C366A" w:rsidTr="00570847">
        <w:trPr>
          <w:trHeight w:val="312"/>
        </w:trPr>
        <w:tc>
          <w:tcPr>
            <w:tcW w:w="2374" w:type="dxa"/>
            <w:shd w:val="clear" w:color="auto" w:fill="F2F2F2" w:themeFill="background1" w:themeFillShade="F2"/>
            <w:vAlign w:val="center"/>
          </w:tcPr>
          <w:p w:rsidR="002C1F90" w:rsidRPr="001C366A" w:rsidRDefault="002C1F90" w:rsidP="00570847">
            <w:pPr>
              <w:spacing w:line="276" w:lineRule="auto"/>
              <w:jc w:val="center"/>
              <w:rPr>
                <w:rFonts w:ascii="Arial" w:eastAsiaTheme="minorHAnsi" w:hAnsi="Arial" w:cs="Arial"/>
                <w:bCs/>
                <w:szCs w:val="18"/>
              </w:rPr>
            </w:pPr>
            <w:r w:rsidRPr="001C366A">
              <w:rPr>
                <w:rFonts w:ascii="Arial" w:hAnsi="Arial" w:cs="Arial"/>
                <w:bCs/>
                <w:szCs w:val="18"/>
              </w:rPr>
              <w:t>Bedrijfsresultaat</w:t>
            </w:r>
          </w:p>
        </w:tc>
        <w:tc>
          <w:tcPr>
            <w:tcW w:w="2374" w:type="dxa"/>
            <w:vAlign w:val="center"/>
          </w:tcPr>
          <w:p w:rsidR="002C1F90" w:rsidRPr="001C366A" w:rsidRDefault="002C1F90" w:rsidP="00570847">
            <w:pPr>
              <w:jc w:val="center"/>
              <w:rPr>
                <w:rFonts w:ascii="Arial" w:eastAsia="Malgun Gothic" w:hAnsi="Arial" w:cs="Arial"/>
                <w:bCs/>
                <w:szCs w:val="20"/>
              </w:rPr>
            </w:pPr>
            <w:r w:rsidRPr="001C366A">
              <w:rPr>
                <w:rFonts w:ascii="Arial" w:hAnsi="Arial" w:cs="Arial"/>
                <w:bCs/>
                <w:szCs w:val="20"/>
              </w:rPr>
              <w:t>264,9</w:t>
            </w:r>
          </w:p>
        </w:tc>
        <w:tc>
          <w:tcPr>
            <w:tcW w:w="2374" w:type="dxa"/>
            <w:vAlign w:val="center"/>
          </w:tcPr>
          <w:p w:rsidR="002C1F90" w:rsidRPr="001C366A" w:rsidRDefault="002C1F90" w:rsidP="00570847">
            <w:pPr>
              <w:wordWrap/>
              <w:spacing w:line="276" w:lineRule="auto"/>
              <w:jc w:val="center"/>
              <w:rPr>
                <w:rFonts w:ascii="Arial" w:eastAsiaTheme="minorHAnsi" w:hAnsi="Arial" w:cs="Arial"/>
                <w:bCs/>
              </w:rPr>
            </w:pPr>
            <w:r w:rsidRPr="001C366A">
              <w:rPr>
                <w:rFonts w:ascii="Arial" w:hAnsi="Arial" w:cs="Arial"/>
                <w:bCs/>
              </w:rPr>
              <w:t>180,4</w:t>
            </w:r>
          </w:p>
        </w:tc>
        <w:tc>
          <w:tcPr>
            <w:tcW w:w="2375" w:type="dxa"/>
            <w:vAlign w:val="center"/>
          </w:tcPr>
          <w:p w:rsidR="002C1F90" w:rsidRPr="001C366A" w:rsidRDefault="002C1F90" w:rsidP="00570847">
            <w:pPr>
              <w:wordWrap/>
              <w:spacing w:line="276" w:lineRule="auto"/>
              <w:jc w:val="center"/>
              <w:rPr>
                <w:rFonts w:ascii="Arial" w:eastAsiaTheme="minorHAnsi" w:hAnsi="Arial" w:cs="Arial"/>
                <w:bCs/>
                <w:color w:val="000000" w:themeColor="text1"/>
              </w:rPr>
            </w:pPr>
            <w:r w:rsidRPr="001C366A">
              <w:rPr>
                <w:rFonts w:ascii="Arial" w:hAnsi="Arial" w:cs="Arial"/>
                <w:bCs/>
                <w:color w:val="000000" w:themeColor="text1"/>
              </w:rPr>
              <w:t>189,1</w:t>
            </w:r>
          </w:p>
        </w:tc>
      </w:tr>
    </w:tbl>
    <w:p w:rsidR="002C1F90" w:rsidRDefault="002C1F90" w:rsidP="002C1F90">
      <w:pPr>
        <w:wordWrap/>
        <w:spacing w:line="276" w:lineRule="auto"/>
        <w:rPr>
          <w:rFonts w:ascii="Arial" w:eastAsiaTheme="minorHAnsi" w:hAnsi="Arial" w:cs="Arial"/>
          <w:b/>
          <w:bCs/>
          <w:lang w:val="en-GB"/>
        </w:rPr>
      </w:pPr>
    </w:p>
    <w:tbl>
      <w:tblPr>
        <w:tblStyle w:val="Tabellenraster"/>
        <w:tblW w:w="9497" w:type="dxa"/>
        <w:tblInd w:w="137" w:type="dxa"/>
        <w:tblLook w:val="04A0" w:firstRow="1" w:lastRow="0" w:firstColumn="1" w:lastColumn="0" w:noHBand="0" w:noVBand="1"/>
      </w:tblPr>
      <w:tblGrid>
        <w:gridCol w:w="2374"/>
        <w:gridCol w:w="2374"/>
        <w:gridCol w:w="2374"/>
        <w:gridCol w:w="2375"/>
      </w:tblGrid>
      <w:tr w:rsidR="002C1F90" w:rsidRPr="001C366A" w:rsidTr="00570847">
        <w:trPr>
          <w:trHeight w:val="312"/>
        </w:trPr>
        <w:tc>
          <w:tcPr>
            <w:tcW w:w="2374"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18"/>
              </w:rPr>
            </w:pPr>
            <w:bookmarkStart w:id="3" w:name="_GoBack"/>
            <w:bookmarkEnd w:id="3"/>
            <w:r w:rsidRPr="001C366A">
              <w:rPr>
                <w:rFonts w:ascii="Arial" w:hAnsi="Arial" w:cs="Arial"/>
                <w:b/>
                <w:bCs/>
                <w:color w:val="FFFFFF" w:themeColor="background1"/>
              </w:rPr>
              <w:lastRenderedPageBreak/>
              <w:t>(Eenheid: miljoen EURO)</w:t>
            </w:r>
          </w:p>
        </w:tc>
        <w:tc>
          <w:tcPr>
            <w:tcW w:w="2374"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3</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2016</w:t>
            </w:r>
          </w:p>
        </w:tc>
        <w:tc>
          <w:tcPr>
            <w:tcW w:w="2374"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2</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2017</w:t>
            </w:r>
          </w:p>
        </w:tc>
        <w:tc>
          <w:tcPr>
            <w:tcW w:w="2375"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3</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2017</w:t>
            </w:r>
          </w:p>
        </w:tc>
      </w:tr>
      <w:tr w:rsidR="002C1F90" w:rsidRPr="001C366A" w:rsidTr="00570847">
        <w:trPr>
          <w:trHeight w:val="312"/>
        </w:trPr>
        <w:tc>
          <w:tcPr>
            <w:tcW w:w="2374" w:type="dxa"/>
            <w:shd w:val="clear" w:color="auto" w:fill="F2F2F2" w:themeFill="background1" w:themeFillShade="F2"/>
            <w:vAlign w:val="center"/>
          </w:tcPr>
          <w:p w:rsidR="002C1F90" w:rsidRPr="001C366A" w:rsidRDefault="002C1F90" w:rsidP="00570847">
            <w:pPr>
              <w:spacing w:line="276" w:lineRule="auto"/>
              <w:jc w:val="center"/>
              <w:rPr>
                <w:rFonts w:ascii="Arial" w:eastAsiaTheme="minorHAnsi" w:hAnsi="Arial" w:cs="Arial"/>
                <w:bCs/>
                <w:szCs w:val="18"/>
              </w:rPr>
            </w:pPr>
            <w:r w:rsidRPr="001C366A">
              <w:rPr>
                <w:rFonts w:ascii="Arial" w:hAnsi="Arial" w:cs="Arial"/>
                <w:bCs/>
                <w:szCs w:val="18"/>
              </w:rPr>
              <w:t>Verkoop</w:t>
            </w:r>
          </w:p>
        </w:tc>
        <w:tc>
          <w:tcPr>
            <w:tcW w:w="2374" w:type="dxa"/>
            <w:vAlign w:val="center"/>
          </w:tcPr>
          <w:p w:rsidR="002C1F90" w:rsidRPr="001C366A" w:rsidRDefault="002C1F90" w:rsidP="00570847">
            <w:pPr>
              <w:jc w:val="center"/>
              <w:rPr>
                <w:rFonts w:ascii="Arial" w:eastAsia="Malgun Gothic" w:hAnsi="Arial" w:cs="Arial"/>
                <w:bCs/>
                <w:szCs w:val="20"/>
              </w:rPr>
            </w:pPr>
            <w:r w:rsidRPr="001C366A">
              <w:rPr>
                <w:rFonts w:ascii="Arial" w:hAnsi="Arial" w:cs="Arial"/>
                <w:bCs/>
                <w:szCs w:val="20"/>
              </w:rPr>
              <w:t>1.324,9</w:t>
            </w:r>
          </w:p>
        </w:tc>
        <w:tc>
          <w:tcPr>
            <w:tcW w:w="2374" w:type="dxa"/>
            <w:vAlign w:val="center"/>
          </w:tcPr>
          <w:p w:rsidR="002C1F90" w:rsidRPr="001C366A" w:rsidRDefault="002C1F90" w:rsidP="00570847">
            <w:pPr>
              <w:wordWrap/>
              <w:spacing w:line="276" w:lineRule="auto"/>
              <w:jc w:val="center"/>
              <w:rPr>
                <w:rFonts w:ascii="Arial" w:eastAsiaTheme="minorHAnsi" w:hAnsi="Arial" w:cs="Arial"/>
                <w:bCs/>
              </w:rPr>
            </w:pPr>
            <w:r w:rsidRPr="001C366A">
              <w:rPr>
                <w:rFonts w:ascii="Arial" w:hAnsi="Arial" w:cs="Arial"/>
                <w:bCs/>
              </w:rPr>
              <w:t>1.341,1</w:t>
            </w:r>
          </w:p>
        </w:tc>
        <w:tc>
          <w:tcPr>
            <w:tcW w:w="2375" w:type="dxa"/>
            <w:vAlign w:val="center"/>
          </w:tcPr>
          <w:p w:rsidR="002C1F90" w:rsidRPr="001C366A" w:rsidRDefault="002C1F90" w:rsidP="00570847">
            <w:pPr>
              <w:wordWrap/>
              <w:spacing w:line="276" w:lineRule="auto"/>
              <w:jc w:val="center"/>
              <w:rPr>
                <w:rFonts w:ascii="Arial" w:eastAsiaTheme="minorHAnsi" w:hAnsi="Arial" w:cs="Arial"/>
                <w:bCs/>
                <w:color w:val="000000" w:themeColor="text1"/>
              </w:rPr>
            </w:pPr>
            <w:r w:rsidRPr="001C366A">
              <w:rPr>
                <w:rFonts w:ascii="Arial" w:hAnsi="Arial" w:cs="Arial"/>
                <w:bCs/>
                <w:color w:val="000000" w:themeColor="text1"/>
              </w:rPr>
              <w:t>1.371,6</w:t>
            </w:r>
          </w:p>
        </w:tc>
      </w:tr>
      <w:tr w:rsidR="002C1F90" w:rsidRPr="001C366A" w:rsidTr="00570847">
        <w:trPr>
          <w:trHeight w:val="312"/>
        </w:trPr>
        <w:tc>
          <w:tcPr>
            <w:tcW w:w="2374" w:type="dxa"/>
            <w:shd w:val="clear" w:color="auto" w:fill="F2F2F2" w:themeFill="background1" w:themeFillShade="F2"/>
            <w:vAlign w:val="center"/>
          </w:tcPr>
          <w:p w:rsidR="002C1F90" w:rsidRPr="001C366A" w:rsidRDefault="002C1F90" w:rsidP="00570847">
            <w:pPr>
              <w:spacing w:line="276" w:lineRule="auto"/>
              <w:jc w:val="center"/>
              <w:rPr>
                <w:rFonts w:ascii="Arial" w:eastAsiaTheme="minorHAnsi" w:hAnsi="Arial" w:cs="Arial"/>
                <w:bCs/>
                <w:szCs w:val="18"/>
              </w:rPr>
            </w:pPr>
            <w:r w:rsidRPr="001C366A">
              <w:rPr>
                <w:rFonts w:ascii="Arial" w:hAnsi="Arial" w:cs="Arial"/>
                <w:bCs/>
                <w:szCs w:val="18"/>
              </w:rPr>
              <w:t>Bedrijfsresultaat</w:t>
            </w:r>
          </w:p>
        </w:tc>
        <w:tc>
          <w:tcPr>
            <w:tcW w:w="2374" w:type="dxa"/>
            <w:vAlign w:val="center"/>
          </w:tcPr>
          <w:p w:rsidR="002C1F90" w:rsidRPr="001C366A" w:rsidRDefault="002C1F90" w:rsidP="00570847">
            <w:pPr>
              <w:jc w:val="center"/>
              <w:rPr>
                <w:rFonts w:ascii="Arial" w:eastAsia="Malgun Gothic" w:hAnsi="Arial" w:cs="Arial"/>
                <w:bCs/>
                <w:szCs w:val="20"/>
              </w:rPr>
            </w:pPr>
            <w:r w:rsidRPr="001C366A">
              <w:rPr>
                <w:rFonts w:ascii="Arial" w:hAnsi="Arial" w:cs="Arial"/>
                <w:bCs/>
                <w:szCs w:val="20"/>
              </w:rPr>
              <w:t>237,4</w:t>
            </w:r>
          </w:p>
        </w:tc>
        <w:tc>
          <w:tcPr>
            <w:tcW w:w="2374" w:type="dxa"/>
            <w:vAlign w:val="center"/>
          </w:tcPr>
          <w:p w:rsidR="002C1F90" w:rsidRPr="001C366A" w:rsidRDefault="002C1F90" w:rsidP="00570847">
            <w:pPr>
              <w:wordWrap/>
              <w:spacing w:line="276" w:lineRule="auto"/>
              <w:jc w:val="center"/>
              <w:rPr>
                <w:rFonts w:ascii="Arial" w:eastAsiaTheme="minorHAnsi" w:hAnsi="Arial" w:cs="Arial"/>
                <w:bCs/>
              </w:rPr>
            </w:pPr>
            <w:r w:rsidRPr="001C366A">
              <w:rPr>
                <w:rFonts w:ascii="Arial" w:hAnsi="Arial" w:cs="Arial"/>
                <w:bCs/>
              </w:rPr>
              <w:t>163,9</w:t>
            </w:r>
          </w:p>
        </w:tc>
        <w:tc>
          <w:tcPr>
            <w:tcW w:w="2375" w:type="dxa"/>
            <w:vAlign w:val="center"/>
          </w:tcPr>
          <w:p w:rsidR="002C1F90" w:rsidRPr="001C366A" w:rsidRDefault="002C1F90" w:rsidP="00570847">
            <w:pPr>
              <w:wordWrap/>
              <w:spacing w:line="276" w:lineRule="auto"/>
              <w:jc w:val="center"/>
              <w:rPr>
                <w:rFonts w:ascii="Arial" w:eastAsiaTheme="minorHAnsi" w:hAnsi="Arial" w:cs="Arial"/>
                <w:bCs/>
                <w:color w:val="000000" w:themeColor="text1"/>
              </w:rPr>
            </w:pPr>
            <w:r w:rsidRPr="001C366A">
              <w:rPr>
                <w:rFonts w:ascii="Arial" w:hAnsi="Arial" w:cs="Arial"/>
                <w:bCs/>
                <w:color w:val="000000" w:themeColor="text1"/>
              </w:rPr>
              <w:t>161</w:t>
            </w:r>
          </w:p>
        </w:tc>
      </w:tr>
    </w:tbl>
    <w:p w:rsidR="002C1F90" w:rsidRPr="001C366A" w:rsidRDefault="002C1F90" w:rsidP="002C1F90">
      <w:pPr>
        <w:wordWrap/>
        <w:spacing w:line="276" w:lineRule="auto"/>
        <w:rPr>
          <w:rFonts w:ascii="Arial" w:eastAsiaTheme="minorHAnsi" w:hAnsi="Arial" w:cs="Arial"/>
          <w:b/>
          <w:bCs/>
          <w:lang w:val="en-GB"/>
        </w:rPr>
      </w:pPr>
    </w:p>
    <w:p w:rsidR="002C1F90" w:rsidRPr="001C366A" w:rsidRDefault="002C1F90" w:rsidP="002C1F90">
      <w:pPr>
        <w:wordWrap/>
        <w:spacing w:line="276" w:lineRule="auto"/>
        <w:rPr>
          <w:rFonts w:ascii="Arial" w:eastAsiaTheme="minorHAnsi" w:hAnsi="Arial" w:cs="Arial"/>
          <w:b/>
          <w:bCs/>
          <w:sz w:val="22"/>
        </w:rPr>
      </w:pPr>
      <w:r w:rsidRPr="001C366A">
        <w:rPr>
          <w:rFonts w:ascii="Arial" w:hAnsi="Arial" w:cs="Arial"/>
          <w:b/>
          <w:bCs/>
          <w:sz w:val="22"/>
        </w:rPr>
        <w:t>*Wisselkoersen</w:t>
      </w:r>
    </w:p>
    <w:tbl>
      <w:tblPr>
        <w:tblStyle w:val="Tabellenraster"/>
        <w:tblW w:w="9500"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5"/>
        <w:gridCol w:w="2375"/>
        <w:gridCol w:w="2375"/>
        <w:gridCol w:w="2375"/>
      </w:tblGrid>
      <w:tr w:rsidR="002C1F90" w:rsidRPr="001C366A" w:rsidTr="00570847">
        <w:trPr>
          <w:trHeight w:val="312"/>
        </w:trPr>
        <w:tc>
          <w:tcPr>
            <w:tcW w:w="2375" w:type="dxa"/>
            <w:shd w:val="clear" w:color="auto" w:fill="7F7F7F" w:themeFill="text1" w:themeFillTint="80"/>
            <w:vAlign w:val="center"/>
          </w:tcPr>
          <w:p w:rsidR="002C1F90" w:rsidRPr="001C366A" w:rsidRDefault="002C1F90" w:rsidP="00570847">
            <w:pPr>
              <w:wordWrap/>
              <w:snapToGrid w:val="0"/>
              <w:ind w:rightChars="56" w:right="112"/>
              <w:jc w:val="center"/>
              <w:rPr>
                <w:rFonts w:ascii="Arial" w:eastAsiaTheme="majorEastAsia" w:hAnsi="Arial" w:cs="Arial"/>
                <w:b/>
                <w:color w:val="FFFFFF" w:themeColor="background1"/>
                <w:szCs w:val="22"/>
                <w:lang w:val="en-GB"/>
              </w:rPr>
            </w:pPr>
          </w:p>
        </w:tc>
        <w:tc>
          <w:tcPr>
            <w:tcW w:w="2375"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3</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2016</w:t>
            </w:r>
          </w:p>
        </w:tc>
        <w:tc>
          <w:tcPr>
            <w:tcW w:w="2375"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2</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2017</w:t>
            </w:r>
          </w:p>
        </w:tc>
        <w:tc>
          <w:tcPr>
            <w:tcW w:w="2375" w:type="dxa"/>
            <w:shd w:val="clear" w:color="auto" w:fill="7F7F7F" w:themeFill="text1" w:themeFillTint="80"/>
            <w:vAlign w:val="center"/>
          </w:tcPr>
          <w:p w:rsidR="002C1F90" w:rsidRPr="001C366A" w:rsidRDefault="002C1F90" w:rsidP="00570847">
            <w:pPr>
              <w:spacing w:line="276" w:lineRule="auto"/>
              <w:jc w:val="center"/>
              <w:rPr>
                <w:rFonts w:ascii="Arial" w:eastAsiaTheme="minorHAnsi" w:hAnsi="Arial" w:cs="Arial"/>
                <w:b/>
                <w:bCs/>
                <w:color w:val="FFFFFF" w:themeColor="background1"/>
                <w:szCs w:val="20"/>
              </w:rPr>
            </w:pPr>
            <w:r w:rsidRPr="001C366A">
              <w:rPr>
                <w:rFonts w:ascii="Arial" w:hAnsi="Arial" w:cs="Arial"/>
                <w:b/>
                <w:bCs/>
                <w:color w:val="FFFFFF" w:themeColor="background1"/>
                <w:szCs w:val="20"/>
              </w:rPr>
              <w:t>3</w:t>
            </w:r>
            <w:r w:rsidRPr="001C366A">
              <w:rPr>
                <w:rFonts w:ascii="Arial" w:hAnsi="Arial" w:cs="Arial"/>
                <w:b/>
                <w:bCs/>
                <w:color w:val="FFFFFF" w:themeColor="background1"/>
                <w:szCs w:val="20"/>
                <w:vertAlign w:val="superscript"/>
              </w:rPr>
              <w:t>e</w:t>
            </w:r>
            <w:r w:rsidRPr="001C366A">
              <w:rPr>
                <w:rFonts w:ascii="Arial" w:hAnsi="Arial" w:cs="Arial"/>
                <w:b/>
                <w:bCs/>
                <w:color w:val="FFFFFF" w:themeColor="background1"/>
                <w:szCs w:val="20"/>
              </w:rPr>
              <w:t xml:space="preserve"> kwartaal fiscaal jaar 2017</w:t>
            </w:r>
          </w:p>
        </w:tc>
      </w:tr>
      <w:tr w:rsidR="002C1F90" w:rsidRPr="001C366A" w:rsidTr="00570847">
        <w:trPr>
          <w:trHeight w:val="312"/>
        </w:trPr>
        <w:tc>
          <w:tcPr>
            <w:tcW w:w="2375" w:type="dxa"/>
            <w:vAlign w:val="center"/>
          </w:tcPr>
          <w:p w:rsidR="002C1F90" w:rsidRPr="001C366A" w:rsidRDefault="002C1F90" w:rsidP="00570847">
            <w:pPr>
              <w:wordWrap/>
              <w:snapToGrid w:val="0"/>
              <w:ind w:rightChars="56" w:right="112"/>
              <w:jc w:val="center"/>
              <w:rPr>
                <w:rFonts w:ascii="Arial" w:eastAsiaTheme="majorEastAsia" w:hAnsi="Arial" w:cs="Arial"/>
                <w:szCs w:val="22"/>
              </w:rPr>
            </w:pPr>
            <w:r w:rsidRPr="001C366A">
              <w:rPr>
                <w:rFonts w:ascii="Arial" w:hAnsi="Arial" w:cs="Arial"/>
                <w:szCs w:val="22"/>
              </w:rPr>
              <w:t>USD/KRW</w:t>
            </w:r>
          </w:p>
        </w:tc>
        <w:tc>
          <w:tcPr>
            <w:tcW w:w="2375" w:type="dxa"/>
            <w:vAlign w:val="center"/>
          </w:tcPr>
          <w:p w:rsidR="002C1F90" w:rsidRPr="001C366A" w:rsidRDefault="002C1F90" w:rsidP="00570847">
            <w:pPr>
              <w:jc w:val="center"/>
              <w:rPr>
                <w:rFonts w:ascii="Arial" w:hAnsi="Arial" w:cs="Arial"/>
                <w:szCs w:val="20"/>
              </w:rPr>
            </w:pPr>
            <w:r w:rsidRPr="001C366A">
              <w:rPr>
                <w:rFonts w:ascii="Arial" w:hAnsi="Arial" w:cs="Arial"/>
                <w:szCs w:val="20"/>
              </w:rPr>
              <w:t>1.121,37</w:t>
            </w:r>
          </w:p>
        </w:tc>
        <w:tc>
          <w:tcPr>
            <w:tcW w:w="2375" w:type="dxa"/>
            <w:vAlign w:val="center"/>
          </w:tcPr>
          <w:p w:rsidR="002C1F90" w:rsidRPr="001C366A" w:rsidRDefault="002C1F90" w:rsidP="00570847">
            <w:pPr>
              <w:jc w:val="center"/>
              <w:rPr>
                <w:rFonts w:ascii="Arial" w:eastAsiaTheme="majorEastAsia" w:hAnsi="Arial" w:cs="Arial"/>
                <w:szCs w:val="22"/>
              </w:rPr>
            </w:pPr>
            <w:r w:rsidRPr="001C366A">
              <w:rPr>
                <w:rFonts w:ascii="Arial" w:hAnsi="Arial" w:cs="Arial"/>
                <w:szCs w:val="22"/>
              </w:rPr>
              <w:t>1.129,43</w:t>
            </w:r>
          </w:p>
        </w:tc>
        <w:tc>
          <w:tcPr>
            <w:tcW w:w="2375" w:type="dxa"/>
            <w:vAlign w:val="center"/>
          </w:tcPr>
          <w:p w:rsidR="002C1F90" w:rsidRPr="001C366A" w:rsidRDefault="002C1F90" w:rsidP="00570847">
            <w:pPr>
              <w:jc w:val="center"/>
              <w:rPr>
                <w:rFonts w:ascii="Arial" w:eastAsiaTheme="majorEastAsia" w:hAnsi="Arial" w:cs="Arial"/>
                <w:szCs w:val="22"/>
              </w:rPr>
            </w:pPr>
            <w:r w:rsidRPr="001C366A">
              <w:rPr>
                <w:rFonts w:ascii="Arial" w:hAnsi="Arial" w:cs="Arial"/>
                <w:szCs w:val="22"/>
              </w:rPr>
              <w:t>1.132,24</w:t>
            </w:r>
          </w:p>
        </w:tc>
      </w:tr>
      <w:tr w:rsidR="002C1F90" w:rsidRPr="001C366A" w:rsidTr="00570847">
        <w:trPr>
          <w:trHeight w:val="312"/>
        </w:trPr>
        <w:tc>
          <w:tcPr>
            <w:tcW w:w="2375" w:type="dxa"/>
            <w:vAlign w:val="center"/>
          </w:tcPr>
          <w:p w:rsidR="002C1F90" w:rsidRPr="001C366A" w:rsidRDefault="002C1F90" w:rsidP="00570847">
            <w:pPr>
              <w:wordWrap/>
              <w:snapToGrid w:val="0"/>
              <w:ind w:rightChars="56" w:right="112"/>
              <w:jc w:val="center"/>
              <w:rPr>
                <w:rFonts w:ascii="Arial" w:eastAsiaTheme="majorEastAsia" w:hAnsi="Arial" w:cs="Arial"/>
                <w:szCs w:val="22"/>
              </w:rPr>
            </w:pPr>
            <w:r w:rsidRPr="001C366A">
              <w:rPr>
                <w:rFonts w:ascii="Arial" w:hAnsi="Arial" w:cs="Arial"/>
                <w:szCs w:val="22"/>
              </w:rPr>
              <w:t>EURO/KRW</w:t>
            </w:r>
          </w:p>
        </w:tc>
        <w:tc>
          <w:tcPr>
            <w:tcW w:w="2375" w:type="dxa"/>
            <w:vAlign w:val="center"/>
          </w:tcPr>
          <w:p w:rsidR="002C1F90" w:rsidRPr="001C366A" w:rsidRDefault="002C1F90" w:rsidP="00570847">
            <w:pPr>
              <w:jc w:val="center"/>
              <w:rPr>
                <w:rFonts w:ascii="Arial" w:hAnsi="Arial" w:cs="Arial"/>
                <w:szCs w:val="20"/>
              </w:rPr>
            </w:pPr>
            <w:r w:rsidRPr="001C366A">
              <w:rPr>
                <w:rFonts w:ascii="Arial" w:hAnsi="Arial" w:cs="Arial"/>
                <w:szCs w:val="20"/>
              </w:rPr>
              <w:t>1.251,04</w:t>
            </w:r>
          </w:p>
        </w:tc>
        <w:tc>
          <w:tcPr>
            <w:tcW w:w="2375" w:type="dxa"/>
            <w:vAlign w:val="center"/>
          </w:tcPr>
          <w:p w:rsidR="002C1F90" w:rsidRPr="001C366A" w:rsidRDefault="002C1F90" w:rsidP="00570847">
            <w:pPr>
              <w:jc w:val="center"/>
              <w:rPr>
                <w:rFonts w:ascii="Arial" w:eastAsiaTheme="majorEastAsia" w:hAnsi="Arial" w:cs="Arial"/>
                <w:szCs w:val="22"/>
              </w:rPr>
            </w:pPr>
            <w:r w:rsidRPr="001C366A">
              <w:rPr>
                <w:rFonts w:ascii="Arial" w:hAnsi="Arial" w:cs="Arial"/>
                <w:szCs w:val="22"/>
              </w:rPr>
              <w:t>1.242,84</w:t>
            </w:r>
          </w:p>
        </w:tc>
        <w:tc>
          <w:tcPr>
            <w:tcW w:w="2375" w:type="dxa"/>
            <w:vAlign w:val="center"/>
          </w:tcPr>
          <w:p w:rsidR="002C1F90" w:rsidRPr="001C366A" w:rsidRDefault="002C1F90" w:rsidP="00570847">
            <w:pPr>
              <w:jc w:val="center"/>
              <w:rPr>
                <w:rFonts w:ascii="Arial" w:eastAsiaTheme="majorEastAsia" w:hAnsi="Arial" w:cs="Arial"/>
                <w:szCs w:val="22"/>
              </w:rPr>
            </w:pPr>
            <w:r w:rsidRPr="001C366A">
              <w:rPr>
                <w:rFonts w:ascii="Arial" w:hAnsi="Arial" w:cs="Arial"/>
                <w:szCs w:val="22"/>
              </w:rPr>
              <w:t>1.330,20</w:t>
            </w:r>
          </w:p>
        </w:tc>
      </w:tr>
    </w:tbl>
    <w:p w:rsidR="002C1F90" w:rsidRPr="004D7C3A" w:rsidRDefault="002C1F90" w:rsidP="002C1F90">
      <w:pPr>
        <w:wordWrap/>
        <w:ind w:firstLineChars="100" w:firstLine="180"/>
        <w:rPr>
          <w:rFonts w:ascii="Times New Roman" w:eastAsiaTheme="majorEastAsia"/>
          <w:i/>
          <w:iCs/>
          <w:sz w:val="18"/>
          <w:szCs w:val="18"/>
        </w:rPr>
      </w:pPr>
      <w:r w:rsidRPr="004D7C3A">
        <w:rPr>
          <w:rFonts w:ascii="Times New Roman"/>
          <w:i/>
          <w:iCs/>
          <w:sz w:val="18"/>
          <w:szCs w:val="18"/>
        </w:rPr>
        <w:t>(Opmerking: de gemiddelde wisselkoersen voor de aangegeven periode zijn verstrekt door de Korea Exchange Bank)</w:t>
      </w:r>
    </w:p>
    <w:p w:rsidR="002C1F90" w:rsidRPr="004D7C3A" w:rsidRDefault="002C1F90" w:rsidP="002C1F90">
      <w:pPr>
        <w:wordWrap/>
        <w:snapToGrid w:val="0"/>
        <w:spacing w:line="276" w:lineRule="auto"/>
        <w:jc w:val="center"/>
        <w:rPr>
          <w:rFonts w:ascii="Times New Roman" w:eastAsiaTheme="minorEastAsia"/>
          <w:sz w:val="22"/>
          <w:szCs w:val="22"/>
        </w:rPr>
      </w:pPr>
    </w:p>
    <w:bookmarkEnd w:id="2"/>
    <w:p w:rsidR="009656CF" w:rsidRPr="00847FE3" w:rsidRDefault="009656CF" w:rsidP="009656CF">
      <w:pPr>
        <w:widowControl/>
        <w:wordWrap/>
        <w:autoSpaceDE/>
        <w:autoSpaceDN/>
        <w:ind w:rightChars="56" w:right="112"/>
        <w:jc w:val="center"/>
        <w:rPr>
          <w:rFonts w:ascii="Times New Roman"/>
          <w:iCs/>
          <w:color w:val="000000" w:themeColor="text1"/>
          <w:kern w:val="0"/>
          <w:sz w:val="24"/>
        </w:rPr>
      </w:pPr>
      <w:r w:rsidRPr="00847FE3">
        <w:rPr>
          <w:rFonts w:ascii="Times New Roman"/>
          <w:iCs/>
          <w:color w:val="000000" w:themeColor="text1"/>
          <w:sz w:val="24"/>
        </w:rPr>
        <w:t># # #</w:t>
      </w:r>
    </w:p>
    <w:p w:rsidR="00B668C5" w:rsidRPr="00847FE3" w:rsidRDefault="00B668C5" w:rsidP="009656CF">
      <w:pPr>
        <w:widowControl/>
        <w:wordWrap/>
        <w:autoSpaceDE/>
        <w:autoSpaceDN/>
        <w:ind w:rightChars="56" w:right="112"/>
        <w:jc w:val="center"/>
        <w:rPr>
          <w:rFonts w:ascii="Times New Roman"/>
          <w:iCs/>
          <w:color w:val="000000" w:themeColor="text1"/>
          <w:kern w:val="0"/>
          <w:sz w:val="22"/>
          <w:szCs w:val="22"/>
        </w:rPr>
      </w:pPr>
    </w:p>
    <w:p w:rsidR="004D7C3A" w:rsidRPr="004D7C3A" w:rsidRDefault="004D7C3A" w:rsidP="004D7C3A">
      <w:pPr>
        <w:spacing w:line="320" w:lineRule="exact"/>
        <w:rPr>
          <w:rFonts w:ascii="Times New Roman"/>
          <w:b/>
          <w:bCs/>
          <w:sz w:val="21"/>
          <w:szCs w:val="21"/>
        </w:rPr>
      </w:pPr>
      <w:r w:rsidRPr="004D7C3A">
        <w:rPr>
          <w:rFonts w:ascii="Times New Roman"/>
          <w:b/>
          <w:bCs/>
          <w:sz w:val="21"/>
          <w:szCs w:val="21"/>
        </w:rPr>
        <w:t>Over Hankook</w:t>
      </w:r>
    </w:p>
    <w:p w:rsidR="004D7C3A" w:rsidRPr="004D7C3A" w:rsidRDefault="004D7C3A" w:rsidP="004D7C3A">
      <w:pPr>
        <w:spacing w:line="320" w:lineRule="exact"/>
        <w:rPr>
          <w:rFonts w:ascii="Times New Roman"/>
          <w:b/>
          <w:bCs/>
          <w:sz w:val="21"/>
          <w:szCs w:val="21"/>
        </w:rPr>
      </w:pPr>
    </w:p>
    <w:p w:rsidR="004D7C3A" w:rsidRPr="004D7C3A" w:rsidRDefault="004D7C3A" w:rsidP="004D7C3A">
      <w:pPr>
        <w:spacing w:line="320" w:lineRule="exact"/>
        <w:rPr>
          <w:rFonts w:ascii="Times New Roman"/>
          <w:sz w:val="21"/>
          <w:szCs w:val="21"/>
        </w:rPr>
      </w:pPr>
      <w:r w:rsidRPr="004D7C3A">
        <w:rPr>
          <w:rFonts w:ascii="Times New Roman"/>
          <w:sz w:val="21"/>
          <w:szCs w:val="21"/>
        </w:rPr>
        <w:t>Als een van de vijf grootste bandenproducenten wereldwijd vervaardigt Hankook innovatieve, high performance radiaalbanden voor het premium segment voor auto's, SUV's, terreinwagens, lichte vrachtwagens, campers, vrachtwagens en bussen evenals voor de autosport (racecircuit/ rally).</w:t>
      </w:r>
    </w:p>
    <w:p w:rsidR="004D7C3A" w:rsidRPr="004D7C3A" w:rsidRDefault="004D7C3A" w:rsidP="004D7C3A">
      <w:pPr>
        <w:spacing w:line="320" w:lineRule="exact"/>
        <w:rPr>
          <w:rFonts w:ascii="Times New Roman"/>
          <w:sz w:val="21"/>
          <w:szCs w:val="21"/>
        </w:rPr>
      </w:pPr>
    </w:p>
    <w:p w:rsidR="004D7C3A" w:rsidRPr="004D7C3A" w:rsidRDefault="004D7C3A" w:rsidP="004D7C3A">
      <w:pPr>
        <w:spacing w:line="320" w:lineRule="exact"/>
        <w:rPr>
          <w:rFonts w:ascii="Times New Roman"/>
          <w:sz w:val="21"/>
          <w:szCs w:val="21"/>
        </w:rPr>
      </w:pPr>
      <w:r w:rsidRPr="004D7C3A">
        <w:rPr>
          <w:rFonts w:ascii="Times New Roman"/>
          <w:sz w:val="21"/>
          <w:szCs w:val="21"/>
        </w:rPr>
        <w:t>Hankook investeert voortdurend in onderzoek en ontwikkeling om haar klanten steeds de hoogste kwaliteit in combinatie met technologische uitmuntendheid te bieden. In vijf ontwikkelingscentra en zeven grote fabrieken wereldwijd ontwikkelt en produceert de onderneming bandoplossingen, die specifiek zijn afgestemd op de wensen en eisen van de regionale markten. In Europa vindt de bandontwikkeling voor de lokale markten en eerste montage plaats in overeenstemming met de toonaangevende Europese autofabrikanten in het Hankook-technologie-centrum in Hannover/Duitsland. De banden worden onder andere geproduceerd in de ultra-moderne Europese fabriek van de onderneming in Rácalmás/ Hongarije, die in 2007 werd ingewijd en voortdurend uitgebreid wordt. Momenteel produceren meer dan 3.000 medewerkers tot 19 miljoen banden per jaar voor personenauto's, SUV's en lichte vrachtwagens.</w:t>
      </w:r>
    </w:p>
    <w:p w:rsidR="004D7C3A" w:rsidRPr="004D7C3A" w:rsidRDefault="004D7C3A" w:rsidP="004D7C3A">
      <w:pPr>
        <w:spacing w:line="320" w:lineRule="exact"/>
        <w:rPr>
          <w:rFonts w:ascii="Times New Roman"/>
          <w:sz w:val="21"/>
          <w:szCs w:val="21"/>
        </w:rPr>
      </w:pPr>
    </w:p>
    <w:p w:rsidR="004D7C3A" w:rsidRPr="004D7C3A" w:rsidRDefault="004D7C3A" w:rsidP="004D7C3A">
      <w:pPr>
        <w:spacing w:line="320" w:lineRule="exact"/>
        <w:rPr>
          <w:rFonts w:ascii="Times New Roman"/>
          <w:sz w:val="21"/>
          <w:szCs w:val="21"/>
        </w:rPr>
      </w:pPr>
      <w:r w:rsidRPr="004D7C3A">
        <w:rPr>
          <w:rFonts w:ascii="Times New Roman"/>
          <w:sz w:val="21"/>
          <w:szCs w:val="21"/>
        </w:rPr>
        <w:t>Het Europese en Duitse hoofdkwartier van de bandenfabrikant is gevestigd in Neu-Isenburg in de buurt van Frankfurt am Main. In Europa heeft Hankook extra kantoren in het Verenigd Koninkrijk, Frankrijk, Italië, Spanje, Nederland, Hongarije, de Tsjechische Republiek, Rusland, Turkije, Zweden en Polen. Hankook banden worden rechtstreeks via regionale distributeurs in andere Europese landen verkocht. Wereldwijd biedt de onderneming werk aan 22.000 mensen en levert haar producten in meer dan 180 landen. Toonaangevende autofabrikanten vertrouwen bij de eerste montage op banden van Hankook. Ongeveer 30 procent van de wereldwijde omzet van de onderneming is afkomstig uit Europa en het Gemenebest van Onafhankelijke Staten.</w:t>
      </w:r>
    </w:p>
    <w:p w:rsidR="004D7C3A" w:rsidRPr="004D7C3A" w:rsidRDefault="004D7C3A" w:rsidP="004D7C3A">
      <w:pPr>
        <w:snapToGrid w:val="0"/>
        <w:spacing w:line="320" w:lineRule="exact"/>
        <w:rPr>
          <w:rStyle w:val="Hyperlink"/>
          <w:rFonts w:ascii="Times New Roman"/>
          <w:sz w:val="21"/>
        </w:rPr>
      </w:pPr>
    </w:p>
    <w:p w:rsidR="00013A02" w:rsidRPr="004D7C3A" w:rsidRDefault="00013A02" w:rsidP="004D7C3A">
      <w:pPr>
        <w:suppressAutoHyphens/>
        <w:wordWrap/>
        <w:autoSpaceDE/>
        <w:autoSpaceDN/>
        <w:snapToGrid w:val="0"/>
        <w:spacing w:line="276" w:lineRule="auto"/>
        <w:ind w:rightChars="197" w:right="394"/>
        <w:rPr>
          <w:rFonts w:ascii="Times New Roman" w:eastAsia="Times New Roman"/>
          <w:bCs/>
          <w:color w:val="00000A"/>
          <w:kern w:val="0"/>
          <w:sz w:val="21"/>
          <w:szCs w:val="21"/>
          <w:lang w:val="en-US"/>
        </w:rPr>
      </w:pPr>
      <w:r w:rsidRPr="004D7C3A">
        <w:rPr>
          <w:rFonts w:ascii="Times New Roman"/>
          <w:color w:val="00000A"/>
          <w:sz w:val="21"/>
          <w:szCs w:val="20"/>
          <w:lang w:val="en-US"/>
        </w:rPr>
        <w:t xml:space="preserve">For more information please visit </w:t>
      </w:r>
      <w:hyperlink r:id="rId8" w:history="1">
        <w:r w:rsidRPr="004D7C3A">
          <w:rPr>
            <w:rFonts w:ascii="Times New Roman"/>
            <w:color w:val="0000FF"/>
            <w:sz w:val="21"/>
            <w:szCs w:val="20"/>
            <w:u w:val="single"/>
            <w:lang w:val="en-US"/>
          </w:rPr>
          <w:t>www.hankooktire-mediacenter.com</w:t>
        </w:r>
      </w:hyperlink>
      <w:r w:rsidRPr="004D7C3A">
        <w:rPr>
          <w:rFonts w:ascii="Times New Roman"/>
          <w:color w:val="00000A"/>
          <w:sz w:val="21"/>
          <w:szCs w:val="20"/>
          <w:lang w:val="en-US"/>
        </w:rPr>
        <w:t xml:space="preserve"> or </w:t>
      </w:r>
      <w:hyperlink r:id="rId9" w:history="1">
        <w:r w:rsidRPr="004D7C3A">
          <w:rPr>
            <w:rFonts w:ascii="Times New Roman"/>
            <w:color w:val="0000FF"/>
            <w:sz w:val="21"/>
            <w:szCs w:val="20"/>
            <w:u w:val="single"/>
            <w:lang w:val="en-US"/>
          </w:rPr>
          <w:t>www.hankooktire.com</w:t>
        </w:r>
      </w:hyperlink>
      <w:r w:rsidRPr="004D7C3A">
        <w:rPr>
          <w:rFonts w:ascii="Times New Roman"/>
          <w:color w:val="00000A"/>
          <w:sz w:val="21"/>
          <w:szCs w:val="20"/>
          <w:lang w:val="en-US"/>
        </w:rPr>
        <w:t xml:space="preserve"> </w:t>
      </w:r>
    </w:p>
    <w:p w:rsidR="00013A02" w:rsidRPr="004D7C3A" w:rsidRDefault="00013A02" w:rsidP="00013A02">
      <w:pPr>
        <w:suppressAutoHyphens/>
        <w:wordWrap/>
        <w:autoSpaceDE/>
        <w:autoSpaceDN/>
        <w:ind w:left="142"/>
        <w:rPr>
          <w:rFonts w:ascii="Times New Roman" w:eastAsia="Malgun Gothic"/>
          <w:color w:val="00000A"/>
          <w:sz w:val="21"/>
          <w:szCs w:val="21"/>
          <w:lang w:val="en-GB" w:eastAsia="en-GB" w:bidi="en-GB"/>
        </w:rPr>
      </w:pPr>
    </w:p>
    <w:p w:rsidR="00013A02" w:rsidRPr="004D7C3A" w:rsidRDefault="00013A02" w:rsidP="00013A02">
      <w:pPr>
        <w:suppressAutoHyphens/>
        <w:wordWrap/>
        <w:autoSpaceDE/>
        <w:autoSpaceDN/>
        <w:rPr>
          <w:rFonts w:ascii="Times New Roman" w:eastAsia="Malgun Gothic"/>
          <w:color w:val="00000A"/>
          <w:kern w:val="0"/>
          <w:sz w:val="21"/>
          <w:szCs w:val="21"/>
          <w:lang w:val="en-GB" w:eastAsia="en-GB" w:bidi="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3A02" w:rsidRPr="004D7C3A" w:rsidTr="00682C3A">
        <w:trPr>
          <w:trHeight w:val="710"/>
        </w:trPr>
        <w:tc>
          <w:tcPr>
            <w:tcW w:w="9437" w:type="dxa"/>
            <w:gridSpan w:val="4"/>
            <w:shd w:val="clear" w:color="auto" w:fill="F2F2F2"/>
          </w:tcPr>
          <w:p w:rsidR="00013A02" w:rsidRPr="004D7C3A" w:rsidRDefault="00013A02" w:rsidP="00013A02">
            <w:pPr>
              <w:suppressAutoHyphens/>
              <w:wordWrap/>
              <w:autoSpaceDE/>
              <w:autoSpaceDN/>
              <w:spacing w:line="320" w:lineRule="exact"/>
              <w:rPr>
                <w:rFonts w:ascii="Times New Roman"/>
                <w:b/>
                <w:bCs/>
                <w:color w:val="00000A"/>
                <w:kern w:val="0"/>
                <w:sz w:val="21"/>
                <w:szCs w:val="21"/>
                <w:u w:val="single"/>
                <w:lang w:val="en-US"/>
              </w:rPr>
            </w:pPr>
            <w:r w:rsidRPr="004D7C3A">
              <w:rPr>
                <w:rFonts w:ascii="Times New Roman"/>
                <w:b/>
                <w:bCs/>
                <w:color w:val="00000A"/>
                <w:sz w:val="21"/>
                <w:szCs w:val="21"/>
                <w:u w:val="single"/>
                <w:lang w:val="en-US"/>
              </w:rPr>
              <w:t>Contact:</w:t>
            </w:r>
          </w:p>
          <w:p w:rsidR="00013A02" w:rsidRPr="004D7C3A" w:rsidRDefault="00013A02" w:rsidP="00013A02">
            <w:pPr>
              <w:suppressAutoHyphens/>
              <w:wordWrap/>
              <w:autoSpaceDE/>
              <w:autoSpaceDN/>
              <w:spacing w:line="320" w:lineRule="exact"/>
              <w:rPr>
                <w:rFonts w:ascii="Times New Roman" w:eastAsia="Times New Roman"/>
                <w:color w:val="00000A"/>
                <w:kern w:val="0"/>
                <w:sz w:val="16"/>
                <w:szCs w:val="16"/>
              </w:rPr>
            </w:pPr>
            <w:r w:rsidRPr="004D7C3A">
              <w:rPr>
                <w:rFonts w:ascii="Times New Roman"/>
                <w:b/>
                <w:bCs/>
                <w:color w:val="00000A"/>
                <w:sz w:val="16"/>
                <w:szCs w:val="16"/>
                <w:lang w:val="en-US"/>
              </w:rPr>
              <w:t xml:space="preserve">Hankook Tire Europe GmbH | </w:t>
            </w:r>
            <w:r w:rsidRPr="004D7C3A">
              <w:rPr>
                <w:rFonts w:ascii="Times New Roman"/>
                <w:bCs/>
                <w:color w:val="00000A"/>
                <w:sz w:val="16"/>
                <w:szCs w:val="16"/>
                <w:lang w:val="en-US"/>
              </w:rPr>
              <w:t>Corporate Communications Europe/CIS</w:t>
            </w:r>
            <w:r w:rsidRPr="004D7C3A">
              <w:rPr>
                <w:rFonts w:ascii="Times New Roman"/>
                <w:b/>
                <w:bCs/>
                <w:color w:val="00000A"/>
                <w:sz w:val="16"/>
                <w:szCs w:val="16"/>
                <w:lang w:val="en-US"/>
              </w:rPr>
              <w:t xml:space="preserve"> | </w:t>
            </w:r>
            <w:r w:rsidRPr="004D7C3A">
              <w:rPr>
                <w:rFonts w:ascii="Times New Roman"/>
                <w:color w:val="00000A"/>
                <w:sz w:val="16"/>
                <w:szCs w:val="16"/>
                <w:lang w:val="en-US"/>
              </w:rPr>
              <w:t xml:space="preserve">Siemensstr. </w:t>
            </w:r>
            <w:r w:rsidRPr="004D7C3A">
              <w:rPr>
                <w:rFonts w:ascii="Times New Roman"/>
                <w:color w:val="00000A"/>
                <w:sz w:val="16"/>
                <w:szCs w:val="16"/>
              </w:rPr>
              <w:t>14, 63263 Neu-Isenburg</w:t>
            </w:r>
            <w:r w:rsidRPr="004D7C3A">
              <w:rPr>
                <w:rFonts w:ascii="Times New Roman"/>
                <w:b/>
                <w:bCs/>
                <w:color w:val="00000A"/>
                <w:sz w:val="16"/>
                <w:szCs w:val="16"/>
              </w:rPr>
              <w:t xml:space="preserve"> | </w:t>
            </w:r>
            <w:r w:rsidRPr="004D7C3A">
              <w:rPr>
                <w:rFonts w:ascii="Times New Roman"/>
                <w:color w:val="00000A"/>
                <w:sz w:val="16"/>
                <w:szCs w:val="16"/>
              </w:rPr>
              <w:t>Germany</w:t>
            </w:r>
          </w:p>
          <w:p w:rsidR="00013A02" w:rsidRPr="004D7C3A" w:rsidRDefault="00013A02" w:rsidP="00013A02">
            <w:pPr>
              <w:suppressAutoHyphens/>
              <w:wordWrap/>
              <w:autoSpaceDE/>
              <w:autoSpaceDN/>
              <w:spacing w:line="200" w:lineRule="exact"/>
              <w:rPr>
                <w:rFonts w:ascii="Times New Roman" w:eastAsia="Times New Roman"/>
                <w:color w:val="00000A"/>
                <w:kern w:val="0"/>
                <w:sz w:val="21"/>
                <w:szCs w:val="21"/>
                <w:u w:val="single"/>
                <w:lang w:val="en-GB" w:eastAsia="en-GB" w:bidi="en-GB"/>
              </w:rPr>
            </w:pPr>
          </w:p>
        </w:tc>
      </w:tr>
      <w:tr w:rsidR="00013A02" w:rsidRPr="004D7C3A" w:rsidTr="0089238C">
        <w:tc>
          <w:tcPr>
            <w:tcW w:w="2359" w:type="dxa"/>
            <w:shd w:val="clear" w:color="auto" w:fill="F2F2F2"/>
          </w:tcPr>
          <w:p w:rsidR="00013A02" w:rsidRPr="004D7C3A" w:rsidRDefault="00013A02" w:rsidP="00682C3A">
            <w:pPr>
              <w:suppressAutoHyphens/>
              <w:wordWrap/>
              <w:autoSpaceDE/>
              <w:autoSpaceDN/>
              <w:spacing w:line="220" w:lineRule="exact"/>
              <w:rPr>
                <w:rFonts w:ascii="Times New Roman" w:eastAsia="Times New Roman"/>
                <w:b/>
                <w:snapToGrid w:val="0"/>
                <w:color w:val="00000A"/>
                <w:kern w:val="0"/>
                <w:sz w:val="16"/>
                <w:szCs w:val="16"/>
              </w:rPr>
            </w:pPr>
            <w:r w:rsidRPr="004D7C3A">
              <w:rPr>
                <w:rFonts w:ascii="Times New Roman"/>
                <w:b/>
                <w:snapToGrid w:val="0"/>
                <w:color w:val="00000A"/>
                <w:sz w:val="16"/>
                <w:szCs w:val="16"/>
              </w:rPr>
              <w:t>Felix Kinzer</w:t>
            </w:r>
          </w:p>
          <w:p w:rsidR="00013A02" w:rsidRPr="004D7C3A" w:rsidRDefault="00013A02" w:rsidP="00682C3A">
            <w:pPr>
              <w:suppressAutoHyphens/>
              <w:wordWrap/>
              <w:autoSpaceDE/>
              <w:autoSpaceDN/>
              <w:spacing w:line="220" w:lineRule="exact"/>
              <w:rPr>
                <w:rFonts w:ascii="Times New Roman" w:eastAsia="Times New Roman"/>
                <w:snapToGrid w:val="0"/>
                <w:color w:val="00000A"/>
                <w:kern w:val="0"/>
                <w:sz w:val="16"/>
                <w:szCs w:val="16"/>
              </w:rPr>
            </w:pPr>
            <w:r w:rsidRPr="004D7C3A">
              <w:rPr>
                <w:rFonts w:ascii="Times New Roman"/>
                <w:snapToGrid w:val="0"/>
                <w:color w:val="00000A"/>
                <w:sz w:val="16"/>
                <w:szCs w:val="16"/>
              </w:rPr>
              <w:t>Director</w:t>
            </w:r>
          </w:p>
          <w:p w:rsidR="00013A02" w:rsidRPr="004D7C3A" w:rsidRDefault="00013A02" w:rsidP="00682C3A">
            <w:pPr>
              <w:suppressAutoHyphens/>
              <w:wordWrap/>
              <w:autoSpaceDE/>
              <w:autoSpaceDN/>
              <w:spacing w:line="220" w:lineRule="exact"/>
              <w:rPr>
                <w:rFonts w:ascii="Times New Roman" w:eastAsia="Times New Roman"/>
                <w:snapToGrid w:val="0"/>
                <w:color w:val="00000A"/>
                <w:kern w:val="0"/>
                <w:sz w:val="16"/>
                <w:szCs w:val="16"/>
              </w:rPr>
            </w:pPr>
            <w:r w:rsidRPr="004D7C3A">
              <w:rPr>
                <w:rFonts w:ascii="Times New Roman"/>
                <w:snapToGrid w:val="0"/>
                <w:color w:val="00000A"/>
                <w:sz w:val="16"/>
                <w:szCs w:val="16"/>
              </w:rPr>
              <w:t>Tel.: +49 (0) 61 02 8149 – 170</w:t>
            </w:r>
          </w:p>
          <w:p w:rsidR="00013A02" w:rsidRPr="004D7C3A" w:rsidRDefault="005001A7" w:rsidP="00682C3A">
            <w:pPr>
              <w:suppressAutoHyphens/>
              <w:wordWrap/>
              <w:autoSpaceDE/>
              <w:autoSpaceDN/>
              <w:spacing w:line="220" w:lineRule="exact"/>
              <w:rPr>
                <w:rFonts w:ascii="Times New Roman" w:eastAsia="Times New Roman"/>
                <w:snapToGrid w:val="0"/>
                <w:color w:val="00000A"/>
                <w:kern w:val="0"/>
                <w:sz w:val="16"/>
                <w:szCs w:val="16"/>
              </w:rPr>
            </w:pPr>
            <w:hyperlink r:id="rId10" w:history="1">
              <w:r w:rsidR="00003C7D" w:rsidRPr="004D7C3A">
                <w:rPr>
                  <w:rFonts w:ascii="Times New Roman"/>
                  <w:snapToGrid w:val="0"/>
                  <w:color w:val="0000FF"/>
                  <w:sz w:val="16"/>
                  <w:szCs w:val="16"/>
                  <w:u w:val="single"/>
                </w:rPr>
                <w:t>f.kinzer@hankookreifen.de</w:t>
              </w:r>
            </w:hyperlink>
          </w:p>
        </w:tc>
        <w:tc>
          <w:tcPr>
            <w:tcW w:w="2359" w:type="dxa"/>
            <w:shd w:val="clear" w:color="auto" w:fill="F2F2F2"/>
          </w:tcPr>
          <w:p w:rsidR="00013A02" w:rsidRPr="004D7C3A" w:rsidRDefault="00013A02" w:rsidP="00682C3A">
            <w:pPr>
              <w:tabs>
                <w:tab w:val="center" w:pos="4252"/>
                <w:tab w:val="right" w:pos="8504"/>
              </w:tabs>
              <w:suppressAutoHyphens/>
              <w:wordWrap/>
              <w:autoSpaceDE/>
              <w:autoSpaceDN/>
              <w:snapToGrid w:val="0"/>
              <w:spacing w:line="220" w:lineRule="exact"/>
              <w:rPr>
                <w:rFonts w:ascii="Times New Roman" w:eastAsia="Times New Roman"/>
                <w:b/>
                <w:color w:val="00000A"/>
                <w:kern w:val="0"/>
                <w:sz w:val="16"/>
                <w:szCs w:val="16"/>
              </w:rPr>
            </w:pPr>
            <w:r w:rsidRPr="004D7C3A">
              <w:rPr>
                <w:rFonts w:ascii="Times New Roman"/>
                <w:b/>
                <w:color w:val="00000A"/>
                <w:sz w:val="16"/>
                <w:szCs w:val="16"/>
              </w:rPr>
              <w:t>Sabine Riedel</w:t>
            </w:r>
          </w:p>
          <w:p w:rsidR="00013A02" w:rsidRPr="004D7C3A" w:rsidRDefault="00013A02" w:rsidP="00682C3A">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rPr>
            </w:pPr>
            <w:r w:rsidRPr="004D7C3A">
              <w:rPr>
                <w:rFonts w:ascii="Times New Roman"/>
                <w:color w:val="00000A"/>
                <w:sz w:val="16"/>
                <w:szCs w:val="16"/>
              </w:rPr>
              <w:t>PR-Manager</w:t>
            </w:r>
          </w:p>
          <w:p w:rsidR="00013A02" w:rsidRPr="004D7C3A" w:rsidRDefault="00013A02" w:rsidP="00682C3A">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rPr>
            </w:pPr>
            <w:r w:rsidRPr="004D7C3A">
              <w:rPr>
                <w:rFonts w:ascii="Times New Roman"/>
                <w:color w:val="00000A"/>
                <w:sz w:val="16"/>
                <w:szCs w:val="16"/>
              </w:rPr>
              <w:t xml:space="preserve">Tel.: +49 (0) 6102 8149 </w:t>
            </w:r>
            <w:r w:rsidRPr="004D7C3A">
              <w:rPr>
                <w:rFonts w:ascii="Times New Roman"/>
                <w:snapToGrid w:val="0"/>
                <w:color w:val="00000A"/>
                <w:sz w:val="16"/>
                <w:szCs w:val="16"/>
              </w:rPr>
              <w:t>– 174</w:t>
            </w:r>
          </w:p>
          <w:p w:rsidR="00013A02" w:rsidRPr="004D7C3A" w:rsidRDefault="005001A7" w:rsidP="00682C3A">
            <w:pPr>
              <w:suppressAutoHyphens/>
              <w:wordWrap/>
              <w:autoSpaceDE/>
              <w:autoSpaceDN/>
              <w:spacing w:line="220" w:lineRule="exact"/>
              <w:rPr>
                <w:rFonts w:ascii="Times New Roman" w:eastAsia="Times New Roman"/>
                <w:color w:val="00000A"/>
                <w:kern w:val="0"/>
                <w:sz w:val="21"/>
                <w:szCs w:val="21"/>
              </w:rPr>
            </w:pPr>
            <w:hyperlink r:id="rId11" w:history="1">
              <w:r w:rsidR="00003C7D" w:rsidRPr="004D7C3A">
                <w:rPr>
                  <w:rFonts w:ascii="Times New Roman"/>
                  <w:color w:val="0000FF"/>
                  <w:sz w:val="16"/>
                  <w:szCs w:val="16"/>
                  <w:u w:val="single"/>
                </w:rPr>
                <w:t>s.riedel@hankookreifen.de</w:t>
              </w:r>
            </w:hyperlink>
            <w:r w:rsidR="00003C7D" w:rsidRPr="004D7C3A">
              <w:rPr>
                <w:rFonts w:ascii="Times New Roman"/>
                <w:color w:val="00000A"/>
                <w:sz w:val="16"/>
                <w:szCs w:val="16"/>
              </w:rPr>
              <w:t xml:space="preserve"> </w:t>
            </w:r>
          </w:p>
        </w:tc>
        <w:tc>
          <w:tcPr>
            <w:tcW w:w="2359" w:type="dxa"/>
            <w:shd w:val="clear" w:color="auto" w:fill="F2F2F2"/>
          </w:tcPr>
          <w:p w:rsidR="00013A02" w:rsidRPr="004D7C3A" w:rsidRDefault="00013A02" w:rsidP="00013A02">
            <w:pPr>
              <w:suppressAutoHyphens/>
              <w:wordWrap/>
              <w:autoSpaceDE/>
              <w:autoSpaceDN/>
              <w:spacing w:line="200" w:lineRule="exact"/>
              <w:rPr>
                <w:rFonts w:ascii="Times New Roman" w:eastAsia="Times New Roman"/>
                <w:color w:val="00000A"/>
                <w:kern w:val="0"/>
                <w:sz w:val="21"/>
                <w:szCs w:val="21"/>
                <w:lang w:val="en-GB" w:eastAsia="en-GB" w:bidi="en-GB"/>
              </w:rPr>
            </w:pPr>
          </w:p>
        </w:tc>
        <w:tc>
          <w:tcPr>
            <w:tcW w:w="2360" w:type="dxa"/>
            <w:shd w:val="clear" w:color="auto" w:fill="F2F2F2"/>
          </w:tcPr>
          <w:p w:rsidR="00013A02" w:rsidRPr="004D7C3A" w:rsidRDefault="00013A02" w:rsidP="00013A02">
            <w:pPr>
              <w:suppressAutoHyphens/>
              <w:wordWrap/>
              <w:autoSpaceDE/>
              <w:autoSpaceDN/>
              <w:spacing w:line="200" w:lineRule="exact"/>
              <w:rPr>
                <w:rFonts w:ascii="Times New Roman" w:eastAsia="Times New Roman"/>
                <w:color w:val="00000A"/>
                <w:kern w:val="0"/>
                <w:sz w:val="21"/>
                <w:szCs w:val="21"/>
                <w:lang w:val="en-GB" w:eastAsia="en-GB" w:bidi="en-GB"/>
              </w:rPr>
            </w:pPr>
          </w:p>
        </w:tc>
      </w:tr>
    </w:tbl>
    <w:p w:rsidR="00013A02" w:rsidRPr="004D7C3A" w:rsidRDefault="00013A02" w:rsidP="00B668C5">
      <w:pPr>
        <w:tabs>
          <w:tab w:val="left" w:pos="142"/>
        </w:tabs>
        <w:suppressAutoHyphens/>
        <w:wordWrap/>
        <w:autoSpaceDE/>
        <w:autoSpaceDN/>
        <w:jc w:val="center"/>
        <w:rPr>
          <w:rFonts w:ascii="Times New Roman" w:eastAsia="Times New Roman"/>
          <w:color w:val="00000A"/>
          <w:kern w:val="0"/>
          <w:sz w:val="22"/>
          <w:szCs w:val="22"/>
          <w:lang w:val="en-GB" w:eastAsia="en-GB" w:bidi="en-GB"/>
        </w:rPr>
      </w:pPr>
    </w:p>
    <w:sectPr w:rsidR="00013A02" w:rsidRPr="004D7C3A" w:rsidSect="009656CF">
      <w:headerReference w:type="default" r:id="rId12"/>
      <w:pgSz w:w="11907" w:h="16839"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A7" w:rsidRDefault="005001A7">
      <w:r>
        <w:separator/>
      </w:r>
    </w:p>
  </w:endnote>
  <w:endnote w:type="continuationSeparator" w:id="0">
    <w:p w:rsidR="005001A7" w:rsidRDefault="0050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A7" w:rsidRDefault="005001A7">
      <w:r>
        <w:separator/>
      </w:r>
    </w:p>
  </w:footnote>
  <w:footnote w:type="continuationSeparator" w:id="0">
    <w:p w:rsidR="005001A7" w:rsidRDefault="0050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23" w:rsidRPr="007E3E56" w:rsidRDefault="00E65316" w:rsidP="007E3E56">
    <w:pPr>
      <w:pStyle w:val="Kopfzeile"/>
      <w:rPr>
        <w:noProof/>
      </w:rPr>
    </w:pPr>
    <w:r>
      <w:rPr>
        <w:noProof/>
        <w:lang w:eastAsia="nl-NL"/>
      </w:rPr>
      <w:drawing>
        <wp:inline distT="0" distB="0" distL="0" distR="0" wp14:anchorId="71C32F63" wp14:editId="67FDCECA">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042D6"/>
    <w:multiLevelType w:val="hybridMultilevel"/>
    <w:tmpl w:val="4BDE1BB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 w15:restartNumberingAfterBreak="0">
    <w:nsid w:val="58D64E74"/>
    <w:multiLevelType w:val="hybridMultilevel"/>
    <w:tmpl w:val="D9B0BEE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6DBC07B7"/>
    <w:multiLevelType w:val="hybridMultilevel"/>
    <w:tmpl w:val="12525604"/>
    <w:lvl w:ilvl="0" w:tplc="DC705B7C">
      <w:start w:val="1"/>
      <w:numFmt w:val="decimal"/>
      <w:lvlText w:val="%1."/>
      <w:lvlJc w:val="left"/>
      <w:pPr>
        <w:tabs>
          <w:tab w:val="num" w:pos="560"/>
        </w:tabs>
        <w:ind w:left="560" w:hanging="360"/>
      </w:pPr>
      <w:rPr>
        <w:rFonts w:hint="default"/>
      </w:rPr>
    </w:lvl>
    <w:lvl w:ilvl="1" w:tplc="04090019" w:tentative="1">
      <w:start w:val="1"/>
      <w:numFmt w:val="upperLetter"/>
      <w:lvlText w:val="%2."/>
      <w:lvlJc w:val="left"/>
      <w:pPr>
        <w:tabs>
          <w:tab w:val="num" w:pos="1000"/>
        </w:tabs>
        <w:ind w:left="1000" w:hanging="400"/>
      </w:pPr>
    </w:lvl>
    <w:lvl w:ilvl="2" w:tplc="0409001B" w:tentative="1">
      <w:start w:val="1"/>
      <w:numFmt w:val="lowerRoman"/>
      <w:lvlText w:val="%3."/>
      <w:lvlJc w:val="right"/>
      <w:pPr>
        <w:tabs>
          <w:tab w:val="num" w:pos="1400"/>
        </w:tabs>
        <w:ind w:left="1400" w:hanging="400"/>
      </w:p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xNDAyMjQ3MDM3MjSyUdpeDU4uLM/DyQAkPjWgDAfHAGLQAAAA=="/>
  </w:docVars>
  <w:rsids>
    <w:rsidRoot w:val="00B368B0"/>
    <w:rsid w:val="00003C7D"/>
    <w:rsid w:val="00007D67"/>
    <w:rsid w:val="00010DA1"/>
    <w:rsid w:val="00013A02"/>
    <w:rsid w:val="00020A80"/>
    <w:rsid w:val="00021860"/>
    <w:rsid w:val="00040908"/>
    <w:rsid w:val="00050AF8"/>
    <w:rsid w:val="00060ACD"/>
    <w:rsid w:val="00065F74"/>
    <w:rsid w:val="000662C3"/>
    <w:rsid w:val="000741DE"/>
    <w:rsid w:val="00075F90"/>
    <w:rsid w:val="000767A6"/>
    <w:rsid w:val="00084CE4"/>
    <w:rsid w:val="00085CDE"/>
    <w:rsid w:val="00092D29"/>
    <w:rsid w:val="00096E63"/>
    <w:rsid w:val="00097B92"/>
    <w:rsid w:val="000A6A63"/>
    <w:rsid w:val="000B46D9"/>
    <w:rsid w:val="000B55FF"/>
    <w:rsid w:val="000B7A46"/>
    <w:rsid w:val="000C13F0"/>
    <w:rsid w:val="000C167E"/>
    <w:rsid w:val="000D256B"/>
    <w:rsid w:val="000D35F9"/>
    <w:rsid w:val="000D4D7D"/>
    <w:rsid w:val="000D52AB"/>
    <w:rsid w:val="000E0352"/>
    <w:rsid w:val="000E14AE"/>
    <w:rsid w:val="000E61AE"/>
    <w:rsid w:val="000E6F3E"/>
    <w:rsid w:val="000E7DF1"/>
    <w:rsid w:val="000F3101"/>
    <w:rsid w:val="001024CE"/>
    <w:rsid w:val="001069E9"/>
    <w:rsid w:val="001079D2"/>
    <w:rsid w:val="00112BF5"/>
    <w:rsid w:val="00114A69"/>
    <w:rsid w:val="00115941"/>
    <w:rsid w:val="00116DB9"/>
    <w:rsid w:val="00133218"/>
    <w:rsid w:val="00133713"/>
    <w:rsid w:val="001349A4"/>
    <w:rsid w:val="00141092"/>
    <w:rsid w:val="00141C5C"/>
    <w:rsid w:val="00143623"/>
    <w:rsid w:val="0014495B"/>
    <w:rsid w:val="00173DA3"/>
    <w:rsid w:val="001743C4"/>
    <w:rsid w:val="001747FB"/>
    <w:rsid w:val="0017713B"/>
    <w:rsid w:val="00181F53"/>
    <w:rsid w:val="00183C19"/>
    <w:rsid w:val="001857D0"/>
    <w:rsid w:val="001858D6"/>
    <w:rsid w:val="001925A2"/>
    <w:rsid w:val="001A315B"/>
    <w:rsid w:val="001A7CE0"/>
    <w:rsid w:val="001B3B9F"/>
    <w:rsid w:val="001B77FA"/>
    <w:rsid w:val="001C244E"/>
    <w:rsid w:val="001C366A"/>
    <w:rsid w:val="001C6C00"/>
    <w:rsid w:val="001C6E82"/>
    <w:rsid w:val="001D3AC1"/>
    <w:rsid w:val="001D6E7C"/>
    <w:rsid w:val="001E0A18"/>
    <w:rsid w:val="001E14B9"/>
    <w:rsid w:val="001E1A01"/>
    <w:rsid w:val="001E28E6"/>
    <w:rsid w:val="001E4A6B"/>
    <w:rsid w:val="001E7105"/>
    <w:rsid w:val="001E7978"/>
    <w:rsid w:val="001F7B75"/>
    <w:rsid w:val="00201593"/>
    <w:rsid w:val="00211520"/>
    <w:rsid w:val="002154D3"/>
    <w:rsid w:val="00224B19"/>
    <w:rsid w:val="00231F14"/>
    <w:rsid w:val="00232ACD"/>
    <w:rsid w:val="00236B93"/>
    <w:rsid w:val="00247BE3"/>
    <w:rsid w:val="00252647"/>
    <w:rsid w:val="00261403"/>
    <w:rsid w:val="00262987"/>
    <w:rsid w:val="002708FF"/>
    <w:rsid w:val="00273E9F"/>
    <w:rsid w:val="00274B87"/>
    <w:rsid w:val="00277919"/>
    <w:rsid w:val="00294565"/>
    <w:rsid w:val="002B0605"/>
    <w:rsid w:val="002B299B"/>
    <w:rsid w:val="002B2F5A"/>
    <w:rsid w:val="002C1F90"/>
    <w:rsid w:val="002C3BCD"/>
    <w:rsid w:val="002C4666"/>
    <w:rsid w:val="002D2829"/>
    <w:rsid w:val="002D31E0"/>
    <w:rsid w:val="002D4D45"/>
    <w:rsid w:val="002F6CD6"/>
    <w:rsid w:val="002F7EC6"/>
    <w:rsid w:val="0030013B"/>
    <w:rsid w:val="00302EC3"/>
    <w:rsid w:val="00303D05"/>
    <w:rsid w:val="00304412"/>
    <w:rsid w:val="0031050C"/>
    <w:rsid w:val="003119CF"/>
    <w:rsid w:val="00314AC1"/>
    <w:rsid w:val="00317C22"/>
    <w:rsid w:val="00320ACA"/>
    <w:rsid w:val="003212EA"/>
    <w:rsid w:val="0032358F"/>
    <w:rsid w:val="0033382E"/>
    <w:rsid w:val="00334316"/>
    <w:rsid w:val="00341904"/>
    <w:rsid w:val="003449D9"/>
    <w:rsid w:val="00345865"/>
    <w:rsid w:val="00352EED"/>
    <w:rsid w:val="0035307F"/>
    <w:rsid w:val="003622F4"/>
    <w:rsid w:val="00377A8E"/>
    <w:rsid w:val="00380E5F"/>
    <w:rsid w:val="00382A2B"/>
    <w:rsid w:val="00383B97"/>
    <w:rsid w:val="00384E53"/>
    <w:rsid w:val="00385899"/>
    <w:rsid w:val="0039433F"/>
    <w:rsid w:val="00395B23"/>
    <w:rsid w:val="0039679F"/>
    <w:rsid w:val="003A59AB"/>
    <w:rsid w:val="003B6D3E"/>
    <w:rsid w:val="003B7A5F"/>
    <w:rsid w:val="003C13FE"/>
    <w:rsid w:val="003C2B35"/>
    <w:rsid w:val="003C6619"/>
    <w:rsid w:val="003D187B"/>
    <w:rsid w:val="003D29C1"/>
    <w:rsid w:val="003E06BF"/>
    <w:rsid w:val="003E173B"/>
    <w:rsid w:val="003E3636"/>
    <w:rsid w:val="003E5D7F"/>
    <w:rsid w:val="003E66D2"/>
    <w:rsid w:val="003F17BD"/>
    <w:rsid w:val="003F1A0F"/>
    <w:rsid w:val="003F1F1C"/>
    <w:rsid w:val="00400F96"/>
    <w:rsid w:val="0040570B"/>
    <w:rsid w:val="00411D70"/>
    <w:rsid w:val="00417FFC"/>
    <w:rsid w:val="00424A94"/>
    <w:rsid w:val="00431091"/>
    <w:rsid w:val="00436AA7"/>
    <w:rsid w:val="00437E47"/>
    <w:rsid w:val="00447E94"/>
    <w:rsid w:val="0046779C"/>
    <w:rsid w:val="00472422"/>
    <w:rsid w:val="00474A93"/>
    <w:rsid w:val="0047779E"/>
    <w:rsid w:val="00482AA8"/>
    <w:rsid w:val="004851B4"/>
    <w:rsid w:val="00486024"/>
    <w:rsid w:val="00491818"/>
    <w:rsid w:val="004918A0"/>
    <w:rsid w:val="00492F9C"/>
    <w:rsid w:val="004B0D2B"/>
    <w:rsid w:val="004B3F7D"/>
    <w:rsid w:val="004B51BA"/>
    <w:rsid w:val="004C6EED"/>
    <w:rsid w:val="004D2E6A"/>
    <w:rsid w:val="004D7C3A"/>
    <w:rsid w:val="004E01B8"/>
    <w:rsid w:val="004E5A3A"/>
    <w:rsid w:val="004F013E"/>
    <w:rsid w:val="004F0768"/>
    <w:rsid w:val="004F26A0"/>
    <w:rsid w:val="005001A7"/>
    <w:rsid w:val="00503D46"/>
    <w:rsid w:val="005055D5"/>
    <w:rsid w:val="0050572D"/>
    <w:rsid w:val="005260BE"/>
    <w:rsid w:val="00526FE6"/>
    <w:rsid w:val="0053257C"/>
    <w:rsid w:val="00537777"/>
    <w:rsid w:val="00542031"/>
    <w:rsid w:val="00542238"/>
    <w:rsid w:val="00543CC6"/>
    <w:rsid w:val="00563BFB"/>
    <w:rsid w:val="005672C1"/>
    <w:rsid w:val="00567C6F"/>
    <w:rsid w:val="005751BA"/>
    <w:rsid w:val="00577A7B"/>
    <w:rsid w:val="0058265A"/>
    <w:rsid w:val="00586D48"/>
    <w:rsid w:val="00590DE8"/>
    <w:rsid w:val="00593BAF"/>
    <w:rsid w:val="00594919"/>
    <w:rsid w:val="005A447B"/>
    <w:rsid w:val="005A57A5"/>
    <w:rsid w:val="005B0CB0"/>
    <w:rsid w:val="005B6646"/>
    <w:rsid w:val="005C1297"/>
    <w:rsid w:val="005C1D80"/>
    <w:rsid w:val="005D7474"/>
    <w:rsid w:val="005E07D9"/>
    <w:rsid w:val="005F032D"/>
    <w:rsid w:val="00600E9D"/>
    <w:rsid w:val="0061004F"/>
    <w:rsid w:val="00613934"/>
    <w:rsid w:val="00617994"/>
    <w:rsid w:val="00622668"/>
    <w:rsid w:val="00623935"/>
    <w:rsid w:val="006326B6"/>
    <w:rsid w:val="00635752"/>
    <w:rsid w:val="00637593"/>
    <w:rsid w:val="006420BA"/>
    <w:rsid w:val="00642AD9"/>
    <w:rsid w:val="00670E3E"/>
    <w:rsid w:val="006828AF"/>
    <w:rsid w:val="00682C3A"/>
    <w:rsid w:val="00697D2F"/>
    <w:rsid w:val="006A420C"/>
    <w:rsid w:val="006B44BC"/>
    <w:rsid w:val="006B71C4"/>
    <w:rsid w:val="006E3776"/>
    <w:rsid w:val="006E472B"/>
    <w:rsid w:val="006E4BC9"/>
    <w:rsid w:val="006E527C"/>
    <w:rsid w:val="006E554D"/>
    <w:rsid w:val="006E6E66"/>
    <w:rsid w:val="006F0CE1"/>
    <w:rsid w:val="006F0D3D"/>
    <w:rsid w:val="006F19EF"/>
    <w:rsid w:val="006F285F"/>
    <w:rsid w:val="006F2C7A"/>
    <w:rsid w:val="006F5210"/>
    <w:rsid w:val="006F57E5"/>
    <w:rsid w:val="00702D73"/>
    <w:rsid w:val="00712BC4"/>
    <w:rsid w:val="007159A7"/>
    <w:rsid w:val="00717095"/>
    <w:rsid w:val="00717A99"/>
    <w:rsid w:val="00723A7E"/>
    <w:rsid w:val="00724830"/>
    <w:rsid w:val="00731066"/>
    <w:rsid w:val="00731979"/>
    <w:rsid w:val="007336E1"/>
    <w:rsid w:val="007403A5"/>
    <w:rsid w:val="007405EE"/>
    <w:rsid w:val="0074176B"/>
    <w:rsid w:val="0074266C"/>
    <w:rsid w:val="007439F6"/>
    <w:rsid w:val="00743FDE"/>
    <w:rsid w:val="007465F7"/>
    <w:rsid w:val="00752429"/>
    <w:rsid w:val="0075262E"/>
    <w:rsid w:val="0075265A"/>
    <w:rsid w:val="00754A8F"/>
    <w:rsid w:val="00757C73"/>
    <w:rsid w:val="0076049C"/>
    <w:rsid w:val="00767804"/>
    <w:rsid w:val="007742E9"/>
    <w:rsid w:val="00783684"/>
    <w:rsid w:val="007875DA"/>
    <w:rsid w:val="007902C8"/>
    <w:rsid w:val="007A2059"/>
    <w:rsid w:val="007A216E"/>
    <w:rsid w:val="007A3310"/>
    <w:rsid w:val="007A5F0D"/>
    <w:rsid w:val="007A6353"/>
    <w:rsid w:val="007A7807"/>
    <w:rsid w:val="007D0434"/>
    <w:rsid w:val="007D1201"/>
    <w:rsid w:val="007D1D64"/>
    <w:rsid w:val="007E0B15"/>
    <w:rsid w:val="007E215E"/>
    <w:rsid w:val="007E26D0"/>
    <w:rsid w:val="007E3E56"/>
    <w:rsid w:val="007F2C35"/>
    <w:rsid w:val="008005A8"/>
    <w:rsid w:val="008016F3"/>
    <w:rsid w:val="0080720C"/>
    <w:rsid w:val="00810B3F"/>
    <w:rsid w:val="008221F0"/>
    <w:rsid w:val="008272C7"/>
    <w:rsid w:val="008306A9"/>
    <w:rsid w:val="0083421D"/>
    <w:rsid w:val="00834E87"/>
    <w:rsid w:val="0083695E"/>
    <w:rsid w:val="00836D9F"/>
    <w:rsid w:val="00847B45"/>
    <w:rsid w:val="00847FE3"/>
    <w:rsid w:val="0085111D"/>
    <w:rsid w:val="00851C2B"/>
    <w:rsid w:val="00855D86"/>
    <w:rsid w:val="00857697"/>
    <w:rsid w:val="008613CB"/>
    <w:rsid w:val="00866B0F"/>
    <w:rsid w:val="0088122A"/>
    <w:rsid w:val="0089187D"/>
    <w:rsid w:val="00895760"/>
    <w:rsid w:val="00897356"/>
    <w:rsid w:val="008A6478"/>
    <w:rsid w:val="008B18D0"/>
    <w:rsid w:val="008B4086"/>
    <w:rsid w:val="008B51E6"/>
    <w:rsid w:val="008B77F8"/>
    <w:rsid w:val="008C4A5D"/>
    <w:rsid w:val="008D0F0D"/>
    <w:rsid w:val="008D4EA4"/>
    <w:rsid w:val="008D5FE1"/>
    <w:rsid w:val="008D682A"/>
    <w:rsid w:val="008F0468"/>
    <w:rsid w:val="008F3C07"/>
    <w:rsid w:val="00903D93"/>
    <w:rsid w:val="0092054B"/>
    <w:rsid w:val="009244CD"/>
    <w:rsid w:val="00925DD4"/>
    <w:rsid w:val="00926BEF"/>
    <w:rsid w:val="00927223"/>
    <w:rsid w:val="00936C91"/>
    <w:rsid w:val="00941181"/>
    <w:rsid w:val="00950FEC"/>
    <w:rsid w:val="009527D1"/>
    <w:rsid w:val="009532DA"/>
    <w:rsid w:val="009655C2"/>
    <w:rsid w:val="009656CF"/>
    <w:rsid w:val="00966664"/>
    <w:rsid w:val="00967100"/>
    <w:rsid w:val="00972F15"/>
    <w:rsid w:val="00980AD3"/>
    <w:rsid w:val="00982166"/>
    <w:rsid w:val="00991C00"/>
    <w:rsid w:val="00993630"/>
    <w:rsid w:val="009A2737"/>
    <w:rsid w:val="009B0519"/>
    <w:rsid w:val="009B48CA"/>
    <w:rsid w:val="009B7AA9"/>
    <w:rsid w:val="009C5A5E"/>
    <w:rsid w:val="009C6757"/>
    <w:rsid w:val="009D1EA5"/>
    <w:rsid w:val="009E7964"/>
    <w:rsid w:val="009E7BDE"/>
    <w:rsid w:val="009F3AD3"/>
    <w:rsid w:val="009F64D6"/>
    <w:rsid w:val="009F79FD"/>
    <w:rsid w:val="00A03ABA"/>
    <w:rsid w:val="00A11622"/>
    <w:rsid w:val="00A119F8"/>
    <w:rsid w:val="00A12199"/>
    <w:rsid w:val="00A251A4"/>
    <w:rsid w:val="00A330EE"/>
    <w:rsid w:val="00A35574"/>
    <w:rsid w:val="00A43BF9"/>
    <w:rsid w:val="00A444B3"/>
    <w:rsid w:val="00A45D6D"/>
    <w:rsid w:val="00A46853"/>
    <w:rsid w:val="00A4777A"/>
    <w:rsid w:val="00A47DB7"/>
    <w:rsid w:val="00A51D51"/>
    <w:rsid w:val="00A54B06"/>
    <w:rsid w:val="00A60EB2"/>
    <w:rsid w:val="00A63ABC"/>
    <w:rsid w:val="00A65B75"/>
    <w:rsid w:val="00A8168E"/>
    <w:rsid w:val="00A81D1C"/>
    <w:rsid w:val="00A852AE"/>
    <w:rsid w:val="00A905AC"/>
    <w:rsid w:val="00A95544"/>
    <w:rsid w:val="00A9577E"/>
    <w:rsid w:val="00AA7C1D"/>
    <w:rsid w:val="00AB18BB"/>
    <w:rsid w:val="00AB4C19"/>
    <w:rsid w:val="00AC10FD"/>
    <w:rsid w:val="00AC7484"/>
    <w:rsid w:val="00AD3368"/>
    <w:rsid w:val="00AD350A"/>
    <w:rsid w:val="00AE1D5E"/>
    <w:rsid w:val="00AE5156"/>
    <w:rsid w:val="00AF20F0"/>
    <w:rsid w:val="00B060D7"/>
    <w:rsid w:val="00B11BA7"/>
    <w:rsid w:val="00B11FB6"/>
    <w:rsid w:val="00B21C76"/>
    <w:rsid w:val="00B30B3F"/>
    <w:rsid w:val="00B35B32"/>
    <w:rsid w:val="00B368B0"/>
    <w:rsid w:val="00B43703"/>
    <w:rsid w:val="00B50739"/>
    <w:rsid w:val="00B557CC"/>
    <w:rsid w:val="00B64FF4"/>
    <w:rsid w:val="00B662EF"/>
    <w:rsid w:val="00B668C5"/>
    <w:rsid w:val="00B82FFB"/>
    <w:rsid w:val="00B83C3C"/>
    <w:rsid w:val="00B9042F"/>
    <w:rsid w:val="00B94909"/>
    <w:rsid w:val="00B94C5C"/>
    <w:rsid w:val="00B971DD"/>
    <w:rsid w:val="00BA34A7"/>
    <w:rsid w:val="00BA37BB"/>
    <w:rsid w:val="00BA4F07"/>
    <w:rsid w:val="00BB0BDA"/>
    <w:rsid w:val="00BB5664"/>
    <w:rsid w:val="00BB7252"/>
    <w:rsid w:val="00BC113A"/>
    <w:rsid w:val="00BC5EC1"/>
    <w:rsid w:val="00BD01C5"/>
    <w:rsid w:val="00BD65FD"/>
    <w:rsid w:val="00BF4425"/>
    <w:rsid w:val="00BF694E"/>
    <w:rsid w:val="00C10A5F"/>
    <w:rsid w:val="00C201CA"/>
    <w:rsid w:val="00C214CB"/>
    <w:rsid w:val="00C23836"/>
    <w:rsid w:val="00C2531C"/>
    <w:rsid w:val="00C31123"/>
    <w:rsid w:val="00C31AB4"/>
    <w:rsid w:val="00C32874"/>
    <w:rsid w:val="00C32910"/>
    <w:rsid w:val="00C32A24"/>
    <w:rsid w:val="00C425B0"/>
    <w:rsid w:val="00C438BF"/>
    <w:rsid w:val="00C51B13"/>
    <w:rsid w:val="00C52C4A"/>
    <w:rsid w:val="00C53FF6"/>
    <w:rsid w:val="00C54292"/>
    <w:rsid w:val="00C6241B"/>
    <w:rsid w:val="00C62D1F"/>
    <w:rsid w:val="00C75476"/>
    <w:rsid w:val="00C77D3E"/>
    <w:rsid w:val="00C81834"/>
    <w:rsid w:val="00C821C8"/>
    <w:rsid w:val="00C84FF0"/>
    <w:rsid w:val="00C86315"/>
    <w:rsid w:val="00C86F29"/>
    <w:rsid w:val="00C91FC1"/>
    <w:rsid w:val="00C95B90"/>
    <w:rsid w:val="00CA4B48"/>
    <w:rsid w:val="00CA5900"/>
    <w:rsid w:val="00CB05B3"/>
    <w:rsid w:val="00CB3B4B"/>
    <w:rsid w:val="00CB3F02"/>
    <w:rsid w:val="00CC13A2"/>
    <w:rsid w:val="00CC1C0F"/>
    <w:rsid w:val="00CD18F5"/>
    <w:rsid w:val="00CD3B1D"/>
    <w:rsid w:val="00CE4129"/>
    <w:rsid w:val="00CE6536"/>
    <w:rsid w:val="00CF2513"/>
    <w:rsid w:val="00CF3BBA"/>
    <w:rsid w:val="00CF3E79"/>
    <w:rsid w:val="00CF552A"/>
    <w:rsid w:val="00CF7AAF"/>
    <w:rsid w:val="00D00BB9"/>
    <w:rsid w:val="00D01244"/>
    <w:rsid w:val="00D039AC"/>
    <w:rsid w:val="00D03C03"/>
    <w:rsid w:val="00D1453F"/>
    <w:rsid w:val="00D206CF"/>
    <w:rsid w:val="00D37EC1"/>
    <w:rsid w:val="00D4149D"/>
    <w:rsid w:val="00D5563B"/>
    <w:rsid w:val="00D5744B"/>
    <w:rsid w:val="00D57FBA"/>
    <w:rsid w:val="00D64A21"/>
    <w:rsid w:val="00D64F10"/>
    <w:rsid w:val="00D67890"/>
    <w:rsid w:val="00D71E67"/>
    <w:rsid w:val="00D751B5"/>
    <w:rsid w:val="00D77A4A"/>
    <w:rsid w:val="00D83694"/>
    <w:rsid w:val="00D86DFD"/>
    <w:rsid w:val="00D87732"/>
    <w:rsid w:val="00D95A72"/>
    <w:rsid w:val="00D95D40"/>
    <w:rsid w:val="00DA0C70"/>
    <w:rsid w:val="00DA2D99"/>
    <w:rsid w:val="00DA3B74"/>
    <w:rsid w:val="00DA7855"/>
    <w:rsid w:val="00DB1A6C"/>
    <w:rsid w:val="00DB7F69"/>
    <w:rsid w:val="00DC592C"/>
    <w:rsid w:val="00DD0481"/>
    <w:rsid w:val="00DD0FCC"/>
    <w:rsid w:val="00DD39F3"/>
    <w:rsid w:val="00DF3553"/>
    <w:rsid w:val="00DF3758"/>
    <w:rsid w:val="00E109C4"/>
    <w:rsid w:val="00E136F9"/>
    <w:rsid w:val="00E23EE5"/>
    <w:rsid w:val="00E24479"/>
    <w:rsid w:val="00E34114"/>
    <w:rsid w:val="00E40179"/>
    <w:rsid w:val="00E47EBF"/>
    <w:rsid w:val="00E53DB3"/>
    <w:rsid w:val="00E65316"/>
    <w:rsid w:val="00E73D04"/>
    <w:rsid w:val="00E8043B"/>
    <w:rsid w:val="00E87B17"/>
    <w:rsid w:val="00E87D38"/>
    <w:rsid w:val="00E90A2B"/>
    <w:rsid w:val="00EA29DC"/>
    <w:rsid w:val="00EA4DBF"/>
    <w:rsid w:val="00EA56D0"/>
    <w:rsid w:val="00EB380E"/>
    <w:rsid w:val="00EC0F56"/>
    <w:rsid w:val="00EC73B9"/>
    <w:rsid w:val="00EF3D42"/>
    <w:rsid w:val="00EF59A4"/>
    <w:rsid w:val="00F0140A"/>
    <w:rsid w:val="00F065D1"/>
    <w:rsid w:val="00F140C1"/>
    <w:rsid w:val="00F212E3"/>
    <w:rsid w:val="00F337C5"/>
    <w:rsid w:val="00F34CB3"/>
    <w:rsid w:val="00F37168"/>
    <w:rsid w:val="00F436BD"/>
    <w:rsid w:val="00F50DD1"/>
    <w:rsid w:val="00F51797"/>
    <w:rsid w:val="00F51A6B"/>
    <w:rsid w:val="00F534AC"/>
    <w:rsid w:val="00F658CA"/>
    <w:rsid w:val="00F757F7"/>
    <w:rsid w:val="00F8241D"/>
    <w:rsid w:val="00F83081"/>
    <w:rsid w:val="00F85AD5"/>
    <w:rsid w:val="00F872B3"/>
    <w:rsid w:val="00F93598"/>
    <w:rsid w:val="00F9459E"/>
    <w:rsid w:val="00FA453C"/>
    <w:rsid w:val="00FA72E9"/>
    <w:rsid w:val="00FA751B"/>
    <w:rsid w:val="00FA7B4E"/>
    <w:rsid w:val="00FB0298"/>
    <w:rsid w:val="00FC0230"/>
    <w:rsid w:val="00FC3460"/>
    <w:rsid w:val="00FC46A2"/>
    <w:rsid w:val="00FC7256"/>
    <w:rsid w:val="00FD13CB"/>
    <w:rsid w:val="00FE065C"/>
    <w:rsid w:val="00FE3547"/>
    <w:rsid w:val="00FE3B76"/>
    <w:rsid w:val="00FF123D"/>
    <w:rsid w:val="00FF3E71"/>
    <w:rsid w:val="00FF43E3"/>
    <w:rsid w:val="00FF71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B6FE6"/>
  <w15:docId w15:val="{11126EEC-E250-4C3B-A828-949A80A3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nl-NL"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9A4"/>
    <w:pPr>
      <w:widowControl w:val="0"/>
      <w:wordWrap w:val="0"/>
      <w:autoSpaceDE w:val="0"/>
      <w:autoSpaceDN w:val="0"/>
      <w:jc w:val="both"/>
    </w:pPr>
    <w:rPr>
      <w:rFonts w:ascii="Batang"/>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143623"/>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B51BA"/>
    <w:pPr>
      <w:tabs>
        <w:tab w:val="center" w:pos="4252"/>
        <w:tab w:val="right" w:pos="8504"/>
      </w:tabs>
      <w:snapToGrid w:val="0"/>
    </w:pPr>
  </w:style>
  <w:style w:type="paragraph" w:styleId="Fuzeile">
    <w:name w:val="footer"/>
    <w:basedOn w:val="Standard"/>
    <w:link w:val="FuzeileZchn"/>
    <w:uiPriority w:val="99"/>
    <w:rsid w:val="004B51BA"/>
    <w:pPr>
      <w:tabs>
        <w:tab w:val="center" w:pos="4252"/>
        <w:tab w:val="right" w:pos="8504"/>
      </w:tabs>
      <w:snapToGrid w:val="0"/>
    </w:pPr>
  </w:style>
  <w:style w:type="paragraph" w:styleId="Sprechblasentext">
    <w:name w:val="Balloon Text"/>
    <w:basedOn w:val="Standard"/>
    <w:link w:val="SprechblasentextZchn"/>
    <w:uiPriority w:val="99"/>
    <w:semiHidden/>
    <w:unhideWhenUsed/>
    <w:rsid w:val="006B44BC"/>
    <w:rPr>
      <w:rFonts w:ascii="Malgun Gothic" w:eastAsia="Malgun Gothic" w:hAnsi="Malgun Gothic"/>
      <w:sz w:val="18"/>
      <w:szCs w:val="18"/>
      <w:lang w:eastAsia="x-none"/>
    </w:rPr>
  </w:style>
  <w:style w:type="character" w:customStyle="1" w:styleId="SprechblasentextZchn">
    <w:name w:val="Sprechblasentext Zchn"/>
    <w:link w:val="Sprechblasentext"/>
    <w:uiPriority w:val="99"/>
    <w:semiHidden/>
    <w:rsid w:val="006B44BC"/>
    <w:rPr>
      <w:rFonts w:ascii="Malgun Gothic" w:eastAsia="Malgun Gothic" w:hAnsi="Malgun Gothic" w:cs="Times New Roman"/>
      <w:kern w:val="2"/>
      <w:sz w:val="18"/>
      <w:szCs w:val="18"/>
    </w:rPr>
  </w:style>
  <w:style w:type="character" w:styleId="Kommentarzeichen">
    <w:name w:val="annotation reference"/>
    <w:uiPriority w:val="99"/>
    <w:semiHidden/>
    <w:unhideWhenUsed/>
    <w:rsid w:val="00183C19"/>
    <w:rPr>
      <w:sz w:val="18"/>
      <w:szCs w:val="18"/>
    </w:rPr>
  </w:style>
  <w:style w:type="paragraph" w:styleId="Kommentartext">
    <w:name w:val="annotation text"/>
    <w:basedOn w:val="Standard"/>
    <w:link w:val="KommentartextZchn"/>
    <w:uiPriority w:val="99"/>
    <w:semiHidden/>
    <w:unhideWhenUsed/>
    <w:rsid w:val="00183C19"/>
    <w:pPr>
      <w:jc w:val="left"/>
    </w:pPr>
    <w:rPr>
      <w:lang w:eastAsia="x-none"/>
    </w:rPr>
  </w:style>
  <w:style w:type="character" w:customStyle="1" w:styleId="KommentartextZchn">
    <w:name w:val="Kommentartext Zchn"/>
    <w:link w:val="Kommentartext"/>
    <w:uiPriority w:val="99"/>
    <w:semiHidden/>
    <w:rsid w:val="00183C19"/>
    <w:rPr>
      <w:rFonts w:ascii="Batang"/>
      <w:kern w:val="2"/>
      <w:szCs w:val="24"/>
    </w:rPr>
  </w:style>
  <w:style w:type="paragraph" w:styleId="Kommentarthema">
    <w:name w:val="annotation subject"/>
    <w:basedOn w:val="Kommentartext"/>
    <w:next w:val="Kommentartext"/>
    <w:link w:val="KommentarthemaZchn"/>
    <w:uiPriority w:val="99"/>
    <w:semiHidden/>
    <w:unhideWhenUsed/>
    <w:rsid w:val="00183C19"/>
    <w:rPr>
      <w:b/>
      <w:bCs/>
    </w:rPr>
  </w:style>
  <w:style w:type="character" w:customStyle="1" w:styleId="KommentarthemaZchn">
    <w:name w:val="Kommentarthema Zchn"/>
    <w:link w:val="Kommentarthema"/>
    <w:uiPriority w:val="99"/>
    <w:semiHidden/>
    <w:rsid w:val="00183C19"/>
    <w:rPr>
      <w:rFonts w:ascii="Batang"/>
      <w:b/>
      <w:bCs/>
      <w:kern w:val="2"/>
      <w:szCs w:val="24"/>
    </w:rPr>
  </w:style>
  <w:style w:type="paragraph" w:styleId="Datum">
    <w:name w:val="Date"/>
    <w:basedOn w:val="Standard"/>
    <w:next w:val="Standard"/>
    <w:link w:val="DatumZchn"/>
    <w:uiPriority w:val="99"/>
    <w:semiHidden/>
    <w:unhideWhenUsed/>
    <w:rsid w:val="000E61AE"/>
  </w:style>
  <w:style w:type="character" w:customStyle="1" w:styleId="DatumZchn">
    <w:name w:val="Datum Zchn"/>
    <w:basedOn w:val="Absatz-Standardschriftart"/>
    <w:link w:val="Datum"/>
    <w:uiPriority w:val="99"/>
    <w:semiHidden/>
    <w:rsid w:val="000E61AE"/>
    <w:rPr>
      <w:rFonts w:ascii="Batang"/>
      <w:kern w:val="2"/>
      <w:szCs w:val="24"/>
    </w:rPr>
  </w:style>
  <w:style w:type="character" w:customStyle="1" w:styleId="FuzeileZchn">
    <w:name w:val="Fußzeile Zchn"/>
    <w:basedOn w:val="Absatz-Standardschriftart"/>
    <w:link w:val="Fuzeile"/>
    <w:uiPriority w:val="99"/>
    <w:rsid w:val="00FC46A2"/>
    <w:rPr>
      <w:rFonts w:ascii="Batang"/>
      <w:kern w:val="2"/>
      <w:szCs w:val="24"/>
    </w:rPr>
  </w:style>
  <w:style w:type="character" w:styleId="Hyperlink">
    <w:name w:val="Hyperlink"/>
    <w:basedOn w:val="Absatz-Standardschriftart"/>
    <w:uiPriority w:val="99"/>
    <w:unhideWhenUsed/>
    <w:rsid w:val="001E1A01"/>
    <w:rPr>
      <w:color w:val="0000FF" w:themeColor="hyperlink"/>
      <w:u w:val="single"/>
    </w:rPr>
  </w:style>
  <w:style w:type="paragraph" w:styleId="Listenabsatz">
    <w:name w:val="List Paragraph"/>
    <w:basedOn w:val="Standard"/>
    <w:uiPriority w:val="34"/>
    <w:qFormat/>
    <w:rsid w:val="009B7AA9"/>
    <w:pPr>
      <w:ind w:left="720"/>
      <w:contextualSpacing/>
    </w:pPr>
  </w:style>
  <w:style w:type="paragraph" w:styleId="berarbeitung">
    <w:name w:val="Revision"/>
    <w:hidden/>
    <w:uiPriority w:val="99"/>
    <w:semiHidden/>
    <w:rsid w:val="001079D2"/>
    <w:rPr>
      <w:rFonts w:ascii="Batang"/>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28881">
      <w:bodyDiv w:val="1"/>
      <w:marLeft w:val="0"/>
      <w:marRight w:val="0"/>
      <w:marTop w:val="0"/>
      <w:marBottom w:val="0"/>
      <w:divBdr>
        <w:top w:val="none" w:sz="0" w:space="0" w:color="auto"/>
        <w:left w:val="none" w:sz="0" w:space="0" w:color="auto"/>
        <w:bottom w:val="none" w:sz="0" w:space="0" w:color="auto"/>
        <w:right w:val="none" w:sz="0" w:space="0" w:color="auto"/>
      </w:divBdr>
    </w:div>
    <w:div w:id="992686939">
      <w:bodyDiv w:val="1"/>
      <w:marLeft w:val="0"/>
      <w:marRight w:val="0"/>
      <w:marTop w:val="0"/>
      <w:marBottom w:val="0"/>
      <w:divBdr>
        <w:top w:val="none" w:sz="0" w:space="0" w:color="auto"/>
        <w:left w:val="none" w:sz="0" w:space="0" w:color="auto"/>
        <w:bottom w:val="none" w:sz="0" w:space="0" w:color="auto"/>
        <w:right w:val="none" w:sz="0" w:space="0" w:color="auto"/>
      </w:divBdr>
    </w:div>
    <w:div w:id="1380589044">
      <w:bodyDiv w:val="1"/>
      <w:marLeft w:val="0"/>
      <w:marRight w:val="0"/>
      <w:marTop w:val="0"/>
      <w:marBottom w:val="0"/>
      <w:divBdr>
        <w:top w:val="none" w:sz="0" w:space="0" w:color="auto"/>
        <w:left w:val="none" w:sz="0" w:space="0" w:color="auto"/>
        <w:bottom w:val="none" w:sz="0" w:space="0" w:color="auto"/>
        <w:right w:val="none" w:sz="0" w:space="0" w:color="auto"/>
      </w:divBdr>
    </w:div>
    <w:div w:id="13937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9FC1-3E99-4BB9-B318-BCAA49F8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4083</Characters>
  <Application>Microsoft Office Word</Application>
  <DocSecurity>0</DocSecurity>
  <Lines>34</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날 짜</vt:lpstr>
      <vt:lpstr>날 짜</vt:lpstr>
      <vt:lpstr>날 짜</vt:lpstr>
    </vt:vector>
  </TitlesOfParts>
  <Company>KOREA</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Brodeur AP</dc:creator>
  <cp:lastModifiedBy>Andreas Lubitz</cp:lastModifiedBy>
  <cp:revision>9</cp:revision>
  <cp:lastPrinted>2017-11-08T15:55:00Z</cp:lastPrinted>
  <dcterms:created xsi:type="dcterms:W3CDTF">2017-11-06T15:02:00Z</dcterms:created>
  <dcterms:modified xsi:type="dcterms:W3CDTF">2017-11-08T15:56:00Z</dcterms:modified>
</cp:coreProperties>
</file>