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3278" w:rsidRDefault="00133278" w:rsidP="00A5574B">
      <w:pPr>
        <w:tabs>
          <w:tab w:val="left" w:pos="142"/>
        </w:tabs>
        <w:jc w:val="center"/>
        <w:rPr>
          <w:rFonts w:ascii="Helvetica" w:hAnsi="Helvetica"/>
          <w:b/>
          <w:color w:val="FF6600"/>
          <w:sz w:val="32"/>
          <w:lang w:val="de-DE"/>
        </w:rPr>
      </w:pPr>
    </w:p>
    <w:p w:rsidR="00775ECE" w:rsidRPr="002A142D" w:rsidRDefault="002A142D" w:rsidP="00A5574B">
      <w:pPr>
        <w:tabs>
          <w:tab w:val="left" w:pos="142"/>
        </w:tabs>
        <w:jc w:val="center"/>
        <w:rPr>
          <w:rFonts w:ascii="Helvetica" w:hAnsi="Helvetica" w:cs="Helvetica"/>
          <w:b/>
          <w:bCs/>
          <w:color w:val="FF6600"/>
          <w:sz w:val="32"/>
          <w:szCs w:val="32"/>
          <w:lang w:val="de-DE"/>
        </w:rPr>
      </w:pPr>
      <w:r w:rsidRPr="002A142D">
        <w:rPr>
          <w:rFonts w:ascii="Helvetica" w:hAnsi="Helvetica"/>
          <w:b/>
          <w:color w:val="FF6600"/>
          <w:sz w:val="32"/>
          <w:lang w:val="de-DE"/>
        </w:rPr>
        <w:t xml:space="preserve">Hankook Tire veröffentlicht Finanzergebnis </w:t>
      </w:r>
      <w:r w:rsidR="00461C61">
        <w:rPr>
          <w:rFonts w:ascii="Helvetica" w:hAnsi="Helvetica"/>
          <w:b/>
          <w:color w:val="FF6600"/>
          <w:sz w:val="32"/>
          <w:lang w:val="de-DE"/>
        </w:rPr>
        <w:t>für das zweite Quartal 2017</w:t>
      </w:r>
    </w:p>
    <w:p w:rsidR="00046E26" w:rsidRPr="002A142D" w:rsidRDefault="00046E26" w:rsidP="00A5574B">
      <w:pPr>
        <w:tabs>
          <w:tab w:val="left" w:pos="142"/>
        </w:tabs>
        <w:jc w:val="center"/>
        <w:rPr>
          <w:rFonts w:ascii="Helvetica" w:hAnsi="Helvetica" w:cs="Helvetica"/>
          <w:b/>
          <w:bCs/>
          <w:color w:val="FF6600"/>
          <w:sz w:val="32"/>
          <w:szCs w:val="32"/>
          <w:lang w:val="de-DE"/>
        </w:rPr>
      </w:pPr>
    </w:p>
    <w:p w:rsidR="00D926C2" w:rsidRDefault="00461C61" w:rsidP="00D926C2">
      <w:pPr>
        <w:spacing w:line="360" w:lineRule="auto"/>
        <w:rPr>
          <w:b/>
          <w:sz w:val="22"/>
          <w:lang w:val="de-DE"/>
        </w:rPr>
      </w:pPr>
      <w:r w:rsidRPr="00461C61">
        <w:rPr>
          <w:b/>
          <w:sz w:val="22"/>
          <w:lang w:val="de-DE"/>
        </w:rPr>
        <w:t xml:space="preserve">Im zweiten Quartal 2017 erzielte Reifenhersteller Hankook einen Umsatz von </w:t>
      </w:r>
      <w:r>
        <w:rPr>
          <w:b/>
          <w:sz w:val="22"/>
          <w:lang w:val="de-DE"/>
        </w:rPr>
        <w:t>1,667 Billionen</w:t>
      </w:r>
      <w:r w:rsidR="00D926C2">
        <w:rPr>
          <w:b/>
          <w:sz w:val="22"/>
          <w:lang w:val="de-DE"/>
        </w:rPr>
        <w:t xml:space="preserve"> KRW</w:t>
      </w:r>
      <w:r>
        <w:rPr>
          <w:b/>
          <w:sz w:val="22"/>
          <w:lang w:val="de-DE"/>
        </w:rPr>
        <w:t xml:space="preserve"> und ein operatives Ergebnis von 203,7 Milliarden KRW. Der Umsatz </w:t>
      </w:r>
      <w:r w:rsidR="00D926C2">
        <w:rPr>
          <w:b/>
          <w:sz w:val="22"/>
          <w:lang w:val="de-DE"/>
        </w:rPr>
        <w:t>im</w:t>
      </w:r>
      <w:r>
        <w:rPr>
          <w:b/>
          <w:sz w:val="22"/>
          <w:lang w:val="de-DE"/>
        </w:rPr>
        <w:t xml:space="preserve"> Ultra High Performance (UHP)-Reifen</w:t>
      </w:r>
      <w:r w:rsidR="00D926C2">
        <w:rPr>
          <w:b/>
          <w:sz w:val="22"/>
          <w:lang w:val="de-DE"/>
        </w:rPr>
        <w:t>-Segment stieg um 1,7 Prozent im Vergleich zum Vorjahr</w:t>
      </w:r>
      <w:r w:rsidR="0070454C">
        <w:rPr>
          <w:b/>
          <w:sz w:val="22"/>
          <w:lang w:val="de-DE"/>
        </w:rPr>
        <w:t>eszeitraum</w:t>
      </w:r>
      <w:r w:rsidR="00D926C2">
        <w:rPr>
          <w:b/>
          <w:sz w:val="22"/>
          <w:lang w:val="de-DE"/>
        </w:rPr>
        <w:t xml:space="preserve"> und erreichte einen Anteil von 36,9 Prozent am Gesamtumsatz.</w:t>
      </w:r>
    </w:p>
    <w:p w:rsidR="00A723E2" w:rsidRPr="00D926C2" w:rsidRDefault="00A723E2" w:rsidP="005131AB">
      <w:pPr>
        <w:rPr>
          <w:rFonts w:ascii="Helvetica" w:hAnsi="Helvetica"/>
          <w:lang w:val="de-DE"/>
        </w:rPr>
      </w:pPr>
    </w:p>
    <w:p w:rsidR="00F377EE" w:rsidRDefault="00D926C2" w:rsidP="00E52217">
      <w:pPr>
        <w:spacing w:line="360" w:lineRule="auto"/>
        <w:rPr>
          <w:sz w:val="21"/>
          <w:lang w:val="de-DE"/>
        </w:rPr>
      </w:pPr>
      <w:r>
        <w:rPr>
          <w:b/>
          <w:i/>
          <w:sz w:val="21"/>
          <w:lang w:val="de-DE"/>
        </w:rPr>
        <w:t xml:space="preserve">Seoul, Korea / Neu-Isenburg, Deutschland, 09. </w:t>
      </w:r>
      <w:r w:rsidRPr="00D926C2">
        <w:rPr>
          <w:b/>
          <w:i/>
          <w:sz w:val="21"/>
          <w:lang w:val="de-DE"/>
        </w:rPr>
        <w:t xml:space="preserve">August 2017 </w:t>
      </w:r>
      <w:r w:rsidR="00A723E2" w:rsidRPr="00D926C2">
        <w:rPr>
          <w:sz w:val="21"/>
          <w:lang w:val="de-DE"/>
        </w:rPr>
        <w:t xml:space="preserve">– </w:t>
      </w:r>
      <w:r w:rsidRPr="00D926C2">
        <w:rPr>
          <w:sz w:val="21"/>
          <w:lang w:val="de-DE"/>
        </w:rPr>
        <w:t xml:space="preserve">Premium-Reifenhersteller Hankook gab die Finanzergebnisse für das zweite Quartal 2017 bekannt. </w:t>
      </w:r>
      <w:r>
        <w:rPr>
          <w:sz w:val="21"/>
          <w:lang w:val="de-DE"/>
        </w:rPr>
        <w:t>Das Unternehmen erzielte im Berichtszeitraum einen globalen Umsatz von 1,667 Billionen KRW (umgerechnet etwa 1,341 Mrd. Euro) und ein operatives Ergebnis von 203,7 Milliarden KRW (umgerechnet etwa 164 Mio. Euro).</w:t>
      </w:r>
    </w:p>
    <w:p w:rsidR="00F377EE" w:rsidRDefault="00F377EE" w:rsidP="00E52217">
      <w:pPr>
        <w:spacing w:line="360" w:lineRule="auto"/>
        <w:rPr>
          <w:sz w:val="21"/>
          <w:lang w:val="de-DE"/>
        </w:rPr>
      </w:pPr>
    </w:p>
    <w:p w:rsidR="005C2BC8" w:rsidRDefault="003444F2" w:rsidP="00E52217">
      <w:pPr>
        <w:spacing w:line="360" w:lineRule="auto"/>
        <w:rPr>
          <w:sz w:val="21"/>
          <w:lang w:val="de-DE"/>
        </w:rPr>
      </w:pPr>
      <w:r>
        <w:rPr>
          <w:bCs/>
          <w:sz w:val="21"/>
          <w:szCs w:val="21"/>
          <w:lang w:val="de-DE"/>
        </w:rPr>
        <w:t>Hankook</w:t>
      </w:r>
      <w:r w:rsidR="00F377EE">
        <w:rPr>
          <w:bCs/>
          <w:sz w:val="21"/>
          <w:szCs w:val="21"/>
          <w:lang w:val="de-DE"/>
        </w:rPr>
        <w:t xml:space="preserve"> erzielte</w:t>
      </w:r>
      <w:r>
        <w:rPr>
          <w:bCs/>
          <w:sz w:val="21"/>
          <w:szCs w:val="21"/>
          <w:lang w:val="de-DE"/>
        </w:rPr>
        <w:t xml:space="preserve"> eine </w:t>
      </w:r>
      <w:r w:rsidR="00D94CDB">
        <w:rPr>
          <w:bCs/>
          <w:sz w:val="21"/>
          <w:szCs w:val="21"/>
          <w:lang w:val="de-DE"/>
        </w:rPr>
        <w:t>Umsatzsteigerung um 1,7 Prozent</w:t>
      </w:r>
      <w:r w:rsidR="00F377EE">
        <w:rPr>
          <w:bCs/>
          <w:sz w:val="21"/>
          <w:szCs w:val="21"/>
          <w:lang w:val="de-DE"/>
        </w:rPr>
        <w:t xml:space="preserve"> im Vergleich zum vorhergehenden Quartal</w:t>
      </w:r>
      <w:r w:rsidR="00D94CDB">
        <w:rPr>
          <w:bCs/>
          <w:sz w:val="21"/>
          <w:szCs w:val="21"/>
          <w:lang w:val="de-DE"/>
        </w:rPr>
        <w:t>, während der operative Gewinn um 12,3 Prozent sank.</w:t>
      </w:r>
      <w:r w:rsidR="00F377EE">
        <w:rPr>
          <w:bCs/>
          <w:sz w:val="21"/>
          <w:szCs w:val="21"/>
          <w:lang w:val="de-DE"/>
        </w:rPr>
        <w:t xml:space="preserve"> Im Vergleich zum </w:t>
      </w:r>
      <w:r w:rsidR="00291DD9">
        <w:rPr>
          <w:bCs/>
          <w:sz w:val="21"/>
          <w:szCs w:val="21"/>
          <w:lang w:val="de-DE"/>
        </w:rPr>
        <w:t>Vorjahreszeitraum</w:t>
      </w:r>
      <w:r w:rsidR="00F377EE">
        <w:rPr>
          <w:bCs/>
          <w:sz w:val="21"/>
          <w:szCs w:val="21"/>
          <w:lang w:val="de-DE"/>
        </w:rPr>
        <w:t xml:space="preserve"> verzeichnete</w:t>
      </w:r>
      <w:r w:rsidR="00D94CDB">
        <w:rPr>
          <w:bCs/>
          <w:sz w:val="21"/>
          <w:szCs w:val="21"/>
          <w:lang w:val="de-DE"/>
        </w:rPr>
        <w:t xml:space="preserve"> </w:t>
      </w:r>
      <w:r w:rsidR="00F377EE">
        <w:rPr>
          <w:bCs/>
          <w:sz w:val="21"/>
          <w:szCs w:val="21"/>
          <w:lang w:val="de-DE"/>
        </w:rPr>
        <w:t>d</w:t>
      </w:r>
      <w:r w:rsidR="00240B39">
        <w:rPr>
          <w:bCs/>
          <w:sz w:val="21"/>
          <w:szCs w:val="21"/>
          <w:lang w:val="de-DE"/>
        </w:rPr>
        <w:t xml:space="preserve">as Unternehmen </w:t>
      </w:r>
      <w:r w:rsidR="00DE094C">
        <w:rPr>
          <w:sz w:val="21"/>
          <w:lang w:val="de-DE"/>
        </w:rPr>
        <w:t xml:space="preserve">einen Rückgang des Gesamtumsatzes um 3,5 Prozent. Das operative Ergebnis </w:t>
      </w:r>
      <w:r w:rsidR="00133278">
        <w:rPr>
          <w:sz w:val="21"/>
          <w:lang w:val="de-DE"/>
        </w:rPr>
        <w:t>ging</w:t>
      </w:r>
      <w:r w:rsidR="00DE094C">
        <w:rPr>
          <w:sz w:val="21"/>
          <w:lang w:val="de-DE"/>
        </w:rPr>
        <w:t xml:space="preserve"> um 34,4 Proz</w:t>
      </w:r>
      <w:r w:rsidR="00133278">
        <w:rPr>
          <w:sz w:val="21"/>
          <w:lang w:val="de-DE"/>
        </w:rPr>
        <w:t xml:space="preserve">ent zurück, vor allem aufgrund </w:t>
      </w:r>
      <w:r w:rsidR="00490254">
        <w:rPr>
          <w:sz w:val="21"/>
          <w:lang w:val="de-DE"/>
        </w:rPr>
        <w:t>gestiegener</w:t>
      </w:r>
      <w:bookmarkStart w:id="0" w:name="_GoBack"/>
      <w:bookmarkEnd w:id="0"/>
      <w:r w:rsidR="006646A8">
        <w:rPr>
          <w:sz w:val="21"/>
          <w:lang w:val="de-DE"/>
        </w:rPr>
        <w:t xml:space="preserve"> Rohstoff-</w:t>
      </w:r>
      <w:r w:rsidR="00D94CDB">
        <w:rPr>
          <w:sz w:val="21"/>
          <w:lang w:val="de-DE"/>
        </w:rPr>
        <w:t>Preise.</w:t>
      </w:r>
    </w:p>
    <w:p w:rsidR="00D94CDB" w:rsidRPr="00D94CDB" w:rsidRDefault="00D94CDB" w:rsidP="00E52217">
      <w:pPr>
        <w:spacing w:line="360" w:lineRule="auto"/>
        <w:rPr>
          <w:sz w:val="21"/>
          <w:lang w:val="de-DE"/>
        </w:rPr>
      </w:pPr>
    </w:p>
    <w:p w:rsidR="00D94CDB" w:rsidRDefault="00D94CDB" w:rsidP="00D94CDB">
      <w:pPr>
        <w:spacing w:line="360" w:lineRule="auto"/>
        <w:rPr>
          <w:bCs/>
          <w:sz w:val="21"/>
          <w:szCs w:val="21"/>
          <w:lang w:val="de-DE"/>
        </w:rPr>
      </w:pPr>
      <w:r>
        <w:rPr>
          <w:bCs/>
          <w:sz w:val="21"/>
          <w:szCs w:val="21"/>
          <w:lang w:val="de-DE"/>
        </w:rPr>
        <w:t>Im Vergleich zum vorhergehenden Quartal konnte Hankook ein im Marktvergleich überdurchschnittliches Umsatzwachstum verzeichnen. Der Umsatz im Ultra High Performance (UHP)-Reifen-Segment wuchs um 1,7 Prozent und erreichte im zweiten Quartal einen Anteil von 36,9 Prozent am Gesamtumsatz. Hankook wird den Ausbau des UHP-Reifen-Segments weiter vorantreiben und flexibel auf den Wandel im Automobilsektor reagieren.</w:t>
      </w:r>
    </w:p>
    <w:p w:rsidR="009147A7" w:rsidRPr="00A920FD" w:rsidRDefault="009147A7" w:rsidP="009147A7">
      <w:pPr>
        <w:snapToGrid w:val="0"/>
        <w:spacing w:line="276" w:lineRule="auto"/>
        <w:jc w:val="center"/>
        <w:rPr>
          <w:bCs/>
          <w:sz w:val="21"/>
          <w:szCs w:val="21"/>
          <w:lang w:val="de-DE"/>
        </w:rPr>
      </w:pPr>
      <w:r w:rsidRPr="00A920FD">
        <w:rPr>
          <w:bCs/>
          <w:sz w:val="21"/>
          <w:szCs w:val="21"/>
          <w:lang w:val="de-DE"/>
        </w:rPr>
        <w:t># # #</w:t>
      </w:r>
    </w:p>
    <w:p w:rsidR="00D94CDB" w:rsidRPr="00D94CDB" w:rsidRDefault="00D94CDB" w:rsidP="007E486E">
      <w:pPr>
        <w:spacing w:line="276" w:lineRule="auto"/>
        <w:ind w:firstLineChars="50" w:firstLine="105"/>
        <w:rPr>
          <w:color w:val="000000"/>
          <w:sz w:val="21"/>
          <w:szCs w:val="21"/>
        </w:rPr>
      </w:pPr>
    </w:p>
    <w:p w:rsidR="007E486E" w:rsidRPr="001E4F24" w:rsidRDefault="007E486E" w:rsidP="007E486E">
      <w:pPr>
        <w:spacing w:line="276" w:lineRule="auto"/>
        <w:ind w:firstLineChars="50" w:firstLine="110"/>
        <w:rPr>
          <w:rFonts w:ascii="Arial" w:hAnsi="Arial" w:cs="Arial"/>
          <w:b/>
          <w:color w:val="000000"/>
          <w:sz w:val="22"/>
          <w:szCs w:val="22"/>
        </w:rPr>
      </w:pPr>
      <w:r>
        <w:rPr>
          <w:rFonts w:ascii="Arial" w:hAnsi="Arial" w:cs="Arial"/>
          <w:b/>
          <w:color w:val="000000"/>
          <w:sz w:val="22"/>
          <w:szCs w:val="22"/>
        </w:rPr>
        <w:t>Q2 2017 Consolidated Financial Result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83"/>
        <w:gridCol w:w="2384"/>
        <w:gridCol w:w="2384"/>
        <w:gridCol w:w="2384"/>
      </w:tblGrid>
      <w:tr w:rsidR="007E486E" w:rsidRPr="00CD1AE4" w:rsidTr="00942840">
        <w:trPr>
          <w:trHeight w:val="312"/>
        </w:trPr>
        <w:tc>
          <w:tcPr>
            <w:tcW w:w="2383" w:type="dxa"/>
            <w:shd w:val="clear" w:color="auto" w:fill="7F7F7F" w:themeFill="text1" w:themeFillTint="80"/>
            <w:noWrap/>
            <w:tcMar>
              <w:top w:w="0" w:type="dxa"/>
              <w:left w:w="99" w:type="dxa"/>
              <w:bottom w:w="0" w:type="dxa"/>
              <w:right w:w="99" w:type="dxa"/>
            </w:tcMar>
            <w:vAlign w:val="center"/>
            <w:hideMark/>
          </w:tcPr>
          <w:p w:rsidR="007E486E" w:rsidRPr="00CD1AE4" w:rsidRDefault="007E486E" w:rsidP="00942840">
            <w:pPr>
              <w:spacing w:line="276" w:lineRule="auto"/>
              <w:jc w:val="center"/>
              <w:rPr>
                <w:rFonts w:ascii="Arial" w:eastAsiaTheme="minorHAnsi" w:hAnsi="Arial" w:cs="Arial"/>
                <w:b/>
                <w:bCs/>
                <w:color w:val="FFFFFF" w:themeColor="background1"/>
              </w:rPr>
            </w:pPr>
            <w:r w:rsidRPr="00CD1AE4">
              <w:rPr>
                <w:rFonts w:ascii="Arial" w:hAnsi="Arial" w:cs="Arial"/>
                <w:b/>
                <w:color w:val="FFFFFF" w:themeColor="background1"/>
              </w:rPr>
              <w:t>(Unit: Billion KRW)</w:t>
            </w:r>
          </w:p>
        </w:tc>
        <w:tc>
          <w:tcPr>
            <w:tcW w:w="2384" w:type="dxa"/>
            <w:shd w:val="clear" w:color="auto" w:fill="7F7F7F" w:themeFill="text1" w:themeFillTint="80"/>
            <w:noWrap/>
            <w:tcMar>
              <w:top w:w="0" w:type="dxa"/>
              <w:left w:w="99" w:type="dxa"/>
              <w:bottom w:w="0" w:type="dxa"/>
              <w:right w:w="99" w:type="dxa"/>
            </w:tcMar>
            <w:vAlign w:val="center"/>
            <w:hideMark/>
          </w:tcPr>
          <w:p w:rsidR="007E486E" w:rsidRPr="00CD1AE4" w:rsidRDefault="007E486E" w:rsidP="00942840">
            <w:pPr>
              <w:spacing w:line="276" w:lineRule="auto"/>
              <w:jc w:val="center"/>
              <w:rPr>
                <w:rFonts w:ascii="Arial" w:eastAsiaTheme="minorHAnsi" w:hAnsi="Arial" w:cs="Arial"/>
                <w:b/>
                <w:bCs/>
                <w:color w:val="FFFFFF" w:themeColor="background1"/>
              </w:rPr>
            </w:pPr>
            <w:r w:rsidRPr="00CD1AE4">
              <w:rPr>
                <w:rFonts w:ascii="Arial" w:eastAsiaTheme="minorHAnsi" w:hAnsi="Arial" w:cs="Arial"/>
                <w:b/>
                <w:bCs/>
                <w:color w:val="FFFFFF" w:themeColor="background1"/>
              </w:rPr>
              <w:t>Q2 FY 2016</w:t>
            </w:r>
          </w:p>
        </w:tc>
        <w:tc>
          <w:tcPr>
            <w:tcW w:w="2384" w:type="dxa"/>
            <w:shd w:val="clear" w:color="auto" w:fill="7F7F7F" w:themeFill="text1" w:themeFillTint="80"/>
            <w:tcMar>
              <w:top w:w="0" w:type="dxa"/>
              <w:left w:w="99" w:type="dxa"/>
              <w:bottom w:w="0" w:type="dxa"/>
              <w:right w:w="99" w:type="dxa"/>
            </w:tcMar>
            <w:vAlign w:val="center"/>
            <w:hideMark/>
          </w:tcPr>
          <w:p w:rsidR="007E486E" w:rsidRPr="00CD1AE4" w:rsidRDefault="007E486E" w:rsidP="00942840">
            <w:pPr>
              <w:spacing w:line="276" w:lineRule="auto"/>
              <w:jc w:val="center"/>
              <w:rPr>
                <w:rFonts w:ascii="Arial" w:eastAsiaTheme="minorHAnsi" w:hAnsi="Arial" w:cs="Arial"/>
                <w:b/>
                <w:bCs/>
                <w:color w:val="FFFFFF" w:themeColor="background1"/>
              </w:rPr>
            </w:pPr>
            <w:r w:rsidRPr="00CD1AE4">
              <w:rPr>
                <w:rFonts w:ascii="Arial" w:eastAsiaTheme="minorHAnsi" w:hAnsi="Arial" w:cs="Arial"/>
                <w:b/>
                <w:bCs/>
                <w:color w:val="FFFFFF" w:themeColor="background1"/>
              </w:rPr>
              <w:t>Q1 FY 2017</w:t>
            </w:r>
          </w:p>
        </w:tc>
        <w:tc>
          <w:tcPr>
            <w:tcW w:w="2384" w:type="dxa"/>
            <w:shd w:val="clear" w:color="auto" w:fill="7F7F7F" w:themeFill="text1" w:themeFillTint="80"/>
            <w:tcMar>
              <w:top w:w="0" w:type="dxa"/>
              <w:left w:w="99" w:type="dxa"/>
              <w:bottom w:w="0" w:type="dxa"/>
              <w:right w:w="99" w:type="dxa"/>
            </w:tcMar>
            <w:vAlign w:val="center"/>
            <w:hideMark/>
          </w:tcPr>
          <w:p w:rsidR="007E486E" w:rsidRPr="00CD1AE4" w:rsidRDefault="007E486E" w:rsidP="00942840">
            <w:pPr>
              <w:spacing w:line="276" w:lineRule="auto"/>
              <w:jc w:val="center"/>
              <w:rPr>
                <w:rFonts w:ascii="Arial" w:eastAsiaTheme="minorHAnsi" w:hAnsi="Arial" w:cs="Arial"/>
                <w:b/>
                <w:bCs/>
                <w:color w:val="FFFFFF" w:themeColor="background1"/>
              </w:rPr>
            </w:pPr>
            <w:r w:rsidRPr="00CD1AE4">
              <w:rPr>
                <w:rFonts w:ascii="Arial" w:eastAsiaTheme="minorHAnsi" w:hAnsi="Arial" w:cs="Arial"/>
                <w:b/>
                <w:bCs/>
                <w:color w:val="FFFFFF" w:themeColor="background1"/>
              </w:rPr>
              <w:t>Q2 FY 2017</w:t>
            </w:r>
          </w:p>
        </w:tc>
      </w:tr>
      <w:tr w:rsidR="007E486E" w:rsidRPr="00855625" w:rsidTr="00942840">
        <w:trPr>
          <w:trHeight w:val="312"/>
        </w:trPr>
        <w:tc>
          <w:tcPr>
            <w:tcW w:w="2383" w:type="dxa"/>
            <w:shd w:val="clear" w:color="auto" w:fill="F2F2F2"/>
            <w:noWrap/>
            <w:tcMar>
              <w:top w:w="0" w:type="dxa"/>
              <w:left w:w="99" w:type="dxa"/>
              <w:bottom w:w="0" w:type="dxa"/>
              <w:right w:w="99" w:type="dxa"/>
            </w:tcMar>
            <w:vAlign w:val="center"/>
            <w:hideMark/>
          </w:tcPr>
          <w:p w:rsidR="007E486E" w:rsidRPr="00CD1AE4" w:rsidRDefault="007E486E" w:rsidP="00942840">
            <w:pPr>
              <w:spacing w:line="276" w:lineRule="auto"/>
              <w:jc w:val="center"/>
              <w:rPr>
                <w:rFonts w:ascii="Arial" w:eastAsiaTheme="minorHAnsi" w:hAnsi="Arial" w:cs="Arial"/>
                <w:bCs/>
              </w:rPr>
            </w:pPr>
            <w:r w:rsidRPr="00CD1AE4">
              <w:rPr>
                <w:rFonts w:ascii="Arial" w:eastAsiaTheme="minorHAnsi" w:hAnsi="Arial" w:cs="Arial"/>
                <w:bCs/>
              </w:rPr>
              <w:t>Sales</w:t>
            </w:r>
          </w:p>
        </w:tc>
        <w:tc>
          <w:tcPr>
            <w:tcW w:w="2384" w:type="dxa"/>
            <w:noWrap/>
            <w:tcMar>
              <w:top w:w="0" w:type="dxa"/>
              <w:left w:w="99" w:type="dxa"/>
              <w:bottom w:w="0" w:type="dxa"/>
              <w:right w:w="99" w:type="dxa"/>
            </w:tcMar>
            <w:vAlign w:val="center"/>
          </w:tcPr>
          <w:p w:rsidR="007E486E" w:rsidRPr="00CD1AE4" w:rsidRDefault="007E486E" w:rsidP="00942840">
            <w:pPr>
              <w:spacing w:line="276" w:lineRule="auto"/>
              <w:jc w:val="center"/>
              <w:rPr>
                <w:rFonts w:ascii="Arial" w:eastAsiaTheme="minorHAnsi" w:hAnsi="Arial" w:cs="Arial"/>
              </w:rPr>
            </w:pPr>
            <w:r w:rsidRPr="00CD1AE4">
              <w:rPr>
                <w:rFonts w:ascii="Arial" w:eastAsiaTheme="minorHAnsi" w:hAnsi="Arial" w:cs="Arial"/>
              </w:rPr>
              <w:t>1,727.4</w:t>
            </w:r>
          </w:p>
        </w:tc>
        <w:tc>
          <w:tcPr>
            <w:tcW w:w="2384" w:type="dxa"/>
            <w:tcMar>
              <w:top w:w="0" w:type="dxa"/>
              <w:left w:w="99" w:type="dxa"/>
              <w:bottom w:w="0" w:type="dxa"/>
              <w:right w:w="99" w:type="dxa"/>
            </w:tcMar>
            <w:vAlign w:val="center"/>
          </w:tcPr>
          <w:p w:rsidR="007E486E" w:rsidRPr="00CD1AE4" w:rsidRDefault="007E486E" w:rsidP="00942840">
            <w:pPr>
              <w:spacing w:line="276" w:lineRule="auto"/>
              <w:jc w:val="center"/>
              <w:rPr>
                <w:rFonts w:ascii="Arial" w:eastAsiaTheme="minorHAnsi" w:hAnsi="Arial" w:cs="Arial"/>
              </w:rPr>
            </w:pPr>
            <w:r w:rsidRPr="00CD1AE4">
              <w:rPr>
                <w:rFonts w:ascii="Arial" w:eastAsiaTheme="minorHAnsi" w:hAnsi="Arial" w:cs="Arial"/>
              </w:rPr>
              <w:t>1,639.2</w:t>
            </w:r>
          </w:p>
        </w:tc>
        <w:tc>
          <w:tcPr>
            <w:tcW w:w="2384" w:type="dxa"/>
            <w:tcMar>
              <w:top w:w="0" w:type="dxa"/>
              <w:left w:w="99" w:type="dxa"/>
              <w:bottom w:w="0" w:type="dxa"/>
              <w:right w:w="99" w:type="dxa"/>
            </w:tcMar>
            <w:vAlign w:val="center"/>
          </w:tcPr>
          <w:p w:rsidR="007E486E" w:rsidRPr="00CD1AE4" w:rsidRDefault="007E486E" w:rsidP="00942840">
            <w:pPr>
              <w:spacing w:line="276" w:lineRule="auto"/>
              <w:jc w:val="center"/>
              <w:rPr>
                <w:rFonts w:ascii="Arial" w:eastAsiaTheme="minorHAnsi" w:hAnsi="Arial" w:cs="Arial"/>
                <w:bCs/>
              </w:rPr>
            </w:pPr>
            <w:r w:rsidRPr="00CD1AE4">
              <w:rPr>
                <w:rFonts w:ascii="Arial" w:eastAsiaTheme="minorHAnsi" w:hAnsi="Arial" w:cs="Arial"/>
                <w:bCs/>
              </w:rPr>
              <w:t>1,666.8</w:t>
            </w:r>
          </w:p>
        </w:tc>
      </w:tr>
      <w:tr w:rsidR="007E486E" w:rsidRPr="00855625" w:rsidTr="00942840">
        <w:trPr>
          <w:trHeight w:val="312"/>
        </w:trPr>
        <w:tc>
          <w:tcPr>
            <w:tcW w:w="2383" w:type="dxa"/>
            <w:shd w:val="clear" w:color="auto" w:fill="F2F2F2"/>
            <w:noWrap/>
            <w:tcMar>
              <w:top w:w="0" w:type="dxa"/>
              <w:left w:w="99" w:type="dxa"/>
              <w:bottom w:w="0" w:type="dxa"/>
              <w:right w:w="99" w:type="dxa"/>
            </w:tcMar>
            <w:vAlign w:val="center"/>
            <w:hideMark/>
          </w:tcPr>
          <w:p w:rsidR="007E486E" w:rsidRPr="00CD1AE4" w:rsidRDefault="007E486E" w:rsidP="00942840">
            <w:pPr>
              <w:spacing w:line="276" w:lineRule="auto"/>
              <w:jc w:val="center"/>
              <w:rPr>
                <w:rFonts w:ascii="Arial" w:eastAsiaTheme="minorHAnsi" w:hAnsi="Arial" w:cs="Arial"/>
                <w:bCs/>
              </w:rPr>
            </w:pPr>
            <w:r w:rsidRPr="00CD1AE4">
              <w:rPr>
                <w:rFonts w:ascii="Arial" w:eastAsiaTheme="minorHAnsi" w:hAnsi="Arial" w:cs="Arial"/>
                <w:bCs/>
              </w:rPr>
              <w:t>Operating Profit</w:t>
            </w:r>
          </w:p>
        </w:tc>
        <w:tc>
          <w:tcPr>
            <w:tcW w:w="2384" w:type="dxa"/>
            <w:noWrap/>
            <w:tcMar>
              <w:top w:w="0" w:type="dxa"/>
              <w:left w:w="99" w:type="dxa"/>
              <w:bottom w:w="0" w:type="dxa"/>
              <w:right w:w="99" w:type="dxa"/>
            </w:tcMar>
            <w:vAlign w:val="center"/>
          </w:tcPr>
          <w:p w:rsidR="007E486E" w:rsidRPr="00CD1AE4" w:rsidRDefault="007E486E" w:rsidP="00942840">
            <w:pPr>
              <w:spacing w:line="276" w:lineRule="auto"/>
              <w:jc w:val="center"/>
              <w:rPr>
                <w:rFonts w:ascii="Arial" w:eastAsiaTheme="minorHAnsi" w:hAnsi="Arial" w:cs="Arial"/>
              </w:rPr>
            </w:pPr>
            <w:r w:rsidRPr="00CD1AE4">
              <w:rPr>
                <w:rFonts w:ascii="Arial" w:eastAsiaTheme="minorHAnsi" w:hAnsi="Arial" w:cs="Arial"/>
              </w:rPr>
              <w:t>310.3</w:t>
            </w:r>
          </w:p>
        </w:tc>
        <w:tc>
          <w:tcPr>
            <w:tcW w:w="2384" w:type="dxa"/>
            <w:tcMar>
              <w:top w:w="0" w:type="dxa"/>
              <w:left w:w="99" w:type="dxa"/>
              <w:bottom w:w="0" w:type="dxa"/>
              <w:right w:w="99" w:type="dxa"/>
            </w:tcMar>
            <w:vAlign w:val="center"/>
          </w:tcPr>
          <w:p w:rsidR="007E486E" w:rsidRPr="00CD1AE4" w:rsidRDefault="007E486E" w:rsidP="00942840">
            <w:pPr>
              <w:spacing w:line="276" w:lineRule="auto"/>
              <w:jc w:val="center"/>
              <w:rPr>
                <w:rFonts w:ascii="Arial" w:eastAsiaTheme="minorHAnsi" w:hAnsi="Arial" w:cs="Arial"/>
              </w:rPr>
            </w:pPr>
            <w:r w:rsidRPr="00CD1AE4">
              <w:rPr>
                <w:rFonts w:ascii="Arial" w:eastAsiaTheme="minorHAnsi" w:hAnsi="Arial" w:cs="Arial"/>
              </w:rPr>
              <w:t>232.2</w:t>
            </w:r>
          </w:p>
        </w:tc>
        <w:tc>
          <w:tcPr>
            <w:tcW w:w="2384" w:type="dxa"/>
            <w:tcMar>
              <w:top w:w="0" w:type="dxa"/>
              <w:left w:w="99" w:type="dxa"/>
              <w:bottom w:w="0" w:type="dxa"/>
              <w:right w:w="99" w:type="dxa"/>
            </w:tcMar>
            <w:vAlign w:val="center"/>
          </w:tcPr>
          <w:p w:rsidR="007E486E" w:rsidRPr="00CD1AE4" w:rsidRDefault="007E486E" w:rsidP="00942840">
            <w:pPr>
              <w:spacing w:line="276" w:lineRule="auto"/>
              <w:jc w:val="center"/>
              <w:rPr>
                <w:rFonts w:ascii="Arial" w:eastAsiaTheme="minorHAnsi" w:hAnsi="Arial" w:cs="Arial"/>
                <w:bCs/>
              </w:rPr>
            </w:pPr>
            <w:r w:rsidRPr="00CD1AE4">
              <w:rPr>
                <w:rFonts w:ascii="Arial" w:eastAsiaTheme="minorHAnsi" w:hAnsi="Arial" w:cs="Arial"/>
                <w:bCs/>
              </w:rPr>
              <w:t>203.7</w:t>
            </w:r>
          </w:p>
        </w:tc>
      </w:tr>
    </w:tbl>
    <w:p w:rsidR="007E486E" w:rsidRDefault="007E486E" w:rsidP="007E486E">
      <w:pPr>
        <w:spacing w:line="276" w:lineRule="auto"/>
        <w:rPr>
          <w:rFonts w:ascii="Arial" w:eastAsiaTheme="minorHAnsi" w:hAnsi="Arial" w:cs="Arial"/>
          <w:b/>
          <w:bCs/>
        </w:rPr>
      </w:pPr>
    </w:p>
    <w:tbl>
      <w:tblPr>
        <w:tblStyle w:val="Tabellengitternetz"/>
        <w:tblW w:w="9497" w:type="dxa"/>
        <w:tblInd w:w="137" w:type="dxa"/>
        <w:tblLook w:val="04A0"/>
      </w:tblPr>
      <w:tblGrid>
        <w:gridCol w:w="2374"/>
        <w:gridCol w:w="2374"/>
        <w:gridCol w:w="2374"/>
        <w:gridCol w:w="2375"/>
      </w:tblGrid>
      <w:tr w:rsidR="007E486E" w:rsidRPr="00CD1AE4" w:rsidTr="00942840">
        <w:trPr>
          <w:trHeight w:val="312"/>
        </w:trPr>
        <w:tc>
          <w:tcPr>
            <w:tcW w:w="2374" w:type="dxa"/>
            <w:shd w:val="clear" w:color="auto" w:fill="7F7F7F" w:themeFill="text1" w:themeFillTint="80"/>
            <w:vAlign w:val="center"/>
          </w:tcPr>
          <w:p w:rsidR="007E486E" w:rsidRPr="00CD1AE4" w:rsidRDefault="007E486E" w:rsidP="00942840">
            <w:pPr>
              <w:spacing w:line="276" w:lineRule="auto"/>
              <w:jc w:val="center"/>
              <w:rPr>
                <w:rFonts w:ascii="Arial" w:hAnsi="Arial" w:cs="Arial"/>
                <w:b/>
                <w:bCs/>
                <w:color w:val="FFFFFF" w:themeColor="background1"/>
                <w:szCs w:val="18"/>
              </w:rPr>
            </w:pPr>
            <w:r w:rsidRPr="00CD1AE4">
              <w:rPr>
                <w:rFonts w:ascii="Arial" w:hAnsi="Arial" w:cs="Arial" w:hint="eastAsia"/>
                <w:b/>
                <w:bCs/>
                <w:color w:val="FFFFFF" w:themeColor="background1"/>
              </w:rPr>
              <w:t>(Unit: Million USD)</w:t>
            </w:r>
          </w:p>
        </w:tc>
        <w:tc>
          <w:tcPr>
            <w:tcW w:w="2374" w:type="dxa"/>
            <w:shd w:val="clear" w:color="auto" w:fill="7F7F7F" w:themeFill="text1" w:themeFillTint="80"/>
            <w:vAlign w:val="center"/>
          </w:tcPr>
          <w:p w:rsidR="007E486E" w:rsidRPr="00CD1AE4" w:rsidRDefault="007E486E" w:rsidP="00942840">
            <w:pPr>
              <w:spacing w:line="276" w:lineRule="auto"/>
              <w:jc w:val="center"/>
              <w:rPr>
                <w:rFonts w:ascii="Arial" w:hAnsi="Arial" w:cs="Arial"/>
                <w:b/>
                <w:bCs/>
                <w:color w:val="FFFFFF" w:themeColor="background1"/>
                <w:szCs w:val="18"/>
              </w:rPr>
            </w:pPr>
            <w:r w:rsidRPr="00CD1AE4">
              <w:rPr>
                <w:rFonts w:ascii="Arial" w:hAnsi="Arial" w:cs="Arial"/>
                <w:b/>
                <w:bCs/>
                <w:color w:val="FFFFFF" w:themeColor="background1"/>
                <w:szCs w:val="18"/>
              </w:rPr>
              <w:t>Q2 FY 2016</w:t>
            </w:r>
          </w:p>
        </w:tc>
        <w:tc>
          <w:tcPr>
            <w:tcW w:w="2374" w:type="dxa"/>
            <w:shd w:val="clear" w:color="auto" w:fill="7F7F7F" w:themeFill="text1" w:themeFillTint="80"/>
            <w:vAlign w:val="center"/>
          </w:tcPr>
          <w:p w:rsidR="007E486E" w:rsidRPr="00CD1AE4" w:rsidRDefault="007E486E" w:rsidP="00942840">
            <w:pPr>
              <w:spacing w:line="276" w:lineRule="auto"/>
              <w:jc w:val="center"/>
              <w:rPr>
                <w:rFonts w:ascii="Arial" w:hAnsi="Arial" w:cs="Arial"/>
                <w:b/>
                <w:bCs/>
                <w:color w:val="FFFFFF" w:themeColor="background1"/>
                <w:szCs w:val="18"/>
              </w:rPr>
            </w:pPr>
            <w:r w:rsidRPr="00CD1AE4">
              <w:rPr>
                <w:rFonts w:ascii="Arial" w:hAnsi="Arial" w:cs="Arial"/>
                <w:b/>
                <w:bCs/>
                <w:color w:val="FFFFFF" w:themeColor="background1"/>
                <w:szCs w:val="18"/>
              </w:rPr>
              <w:t>Q1 FY 2017</w:t>
            </w:r>
          </w:p>
        </w:tc>
        <w:tc>
          <w:tcPr>
            <w:tcW w:w="2375" w:type="dxa"/>
            <w:shd w:val="clear" w:color="auto" w:fill="7F7F7F" w:themeFill="text1" w:themeFillTint="80"/>
            <w:vAlign w:val="center"/>
          </w:tcPr>
          <w:p w:rsidR="007E486E" w:rsidRPr="00CD1AE4" w:rsidRDefault="007E486E" w:rsidP="00942840">
            <w:pPr>
              <w:spacing w:line="276" w:lineRule="auto"/>
              <w:jc w:val="center"/>
              <w:rPr>
                <w:rFonts w:ascii="Arial" w:hAnsi="Arial" w:cs="Arial"/>
                <w:b/>
                <w:bCs/>
                <w:color w:val="FFFFFF" w:themeColor="background1"/>
                <w:szCs w:val="18"/>
              </w:rPr>
            </w:pPr>
            <w:r w:rsidRPr="00CD1AE4">
              <w:rPr>
                <w:rFonts w:ascii="Arial" w:hAnsi="Arial" w:cs="Arial"/>
                <w:b/>
                <w:bCs/>
                <w:color w:val="FFFFFF" w:themeColor="background1"/>
                <w:szCs w:val="18"/>
              </w:rPr>
              <w:t>Q2 FY 2017</w:t>
            </w:r>
          </w:p>
        </w:tc>
      </w:tr>
      <w:tr w:rsidR="007E486E" w:rsidRPr="00767791" w:rsidTr="00942840">
        <w:trPr>
          <w:trHeight w:val="312"/>
        </w:trPr>
        <w:tc>
          <w:tcPr>
            <w:tcW w:w="2374" w:type="dxa"/>
            <w:shd w:val="clear" w:color="auto" w:fill="F2F2F2" w:themeFill="background1" w:themeFillShade="F2"/>
            <w:vAlign w:val="center"/>
          </w:tcPr>
          <w:p w:rsidR="007E486E" w:rsidRPr="00397E82" w:rsidRDefault="007E486E" w:rsidP="00942840">
            <w:pPr>
              <w:spacing w:line="276" w:lineRule="auto"/>
              <w:jc w:val="center"/>
              <w:rPr>
                <w:rFonts w:ascii="Arial" w:hAnsi="Arial" w:cs="Arial"/>
                <w:bCs/>
                <w:szCs w:val="18"/>
              </w:rPr>
            </w:pPr>
            <w:r w:rsidRPr="00397E82">
              <w:rPr>
                <w:rFonts w:ascii="Arial" w:hAnsi="Arial" w:cs="Arial"/>
                <w:bCs/>
                <w:szCs w:val="18"/>
              </w:rPr>
              <w:t>Sales</w:t>
            </w:r>
          </w:p>
        </w:tc>
        <w:tc>
          <w:tcPr>
            <w:tcW w:w="2374"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bCs/>
              </w:rPr>
              <w:t>1,484.9</w:t>
            </w:r>
          </w:p>
        </w:tc>
        <w:tc>
          <w:tcPr>
            <w:tcW w:w="2374"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hint="eastAsia"/>
                <w:bCs/>
              </w:rPr>
              <w:t>1</w:t>
            </w:r>
            <w:r w:rsidRPr="00397E82">
              <w:rPr>
                <w:rFonts w:ascii="Arial" w:hAnsi="Arial" w:cs="Arial"/>
                <w:bCs/>
              </w:rPr>
              <w:t>,420.1</w:t>
            </w:r>
          </w:p>
        </w:tc>
        <w:tc>
          <w:tcPr>
            <w:tcW w:w="2375"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hint="eastAsia"/>
                <w:bCs/>
              </w:rPr>
              <w:t>1</w:t>
            </w:r>
            <w:r>
              <w:rPr>
                <w:rFonts w:ascii="Arial" w:hAnsi="Arial" w:cs="Arial"/>
                <w:bCs/>
              </w:rPr>
              <w:t>,</w:t>
            </w:r>
            <w:r w:rsidRPr="00397E82">
              <w:rPr>
                <w:rFonts w:ascii="Arial" w:hAnsi="Arial" w:cs="Arial" w:hint="eastAsia"/>
                <w:bCs/>
              </w:rPr>
              <w:t>475.8</w:t>
            </w:r>
          </w:p>
        </w:tc>
      </w:tr>
      <w:tr w:rsidR="007E486E" w:rsidRPr="00767791" w:rsidTr="00942840">
        <w:trPr>
          <w:trHeight w:val="312"/>
        </w:trPr>
        <w:tc>
          <w:tcPr>
            <w:tcW w:w="2374" w:type="dxa"/>
            <w:shd w:val="clear" w:color="auto" w:fill="F2F2F2" w:themeFill="background1" w:themeFillShade="F2"/>
            <w:vAlign w:val="center"/>
          </w:tcPr>
          <w:p w:rsidR="007E486E" w:rsidRPr="00397E82" w:rsidRDefault="007E486E" w:rsidP="00942840">
            <w:pPr>
              <w:spacing w:line="276" w:lineRule="auto"/>
              <w:jc w:val="center"/>
              <w:rPr>
                <w:rFonts w:ascii="Arial" w:hAnsi="Arial" w:cs="Arial"/>
                <w:bCs/>
                <w:szCs w:val="18"/>
              </w:rPr>
            </w:pPr>
            <w:r w:rsidRPr="00397E82">
              <w:rPr>
                <w:rFonts w:ascii="Arial" w:hAnsi="Arial" w:cs="Arial"/>
                <w:bCs/>
                <w:szCs w:val="18"/>
              </w:rPr>
              <w:t>Operating Profit</w:t>
            </w:r>
          </w:p>
        </w:tc>
        <w:tc>
          <w:tcPr>
            <w:tcW w:w="2374"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hint="eastAsia"/>
                <w:bCs/>
              </w:rPr>
              <w:t>2</w:t>
            </w:r>
            <w:r w:rsidRPr="00397E82">
              <w:rPr>
                <w:rFonts w:ascii="Arial" w:hAnsi="Arial" w:cs="Arial"/>
                <w:bCs/>
              </w:rPr>
              <w:t>66</w:t>
            </w:r>
            <w:r w:rsidRPr="00397E82">
              <w:rPr>
                <w:rFonts w:ascii="Arial" w:hAnsi="Arial" w:cs="Arial" w:hint="eastAsia"/>
                <w:bCs/>
              </w:rPr>
              <w:t>.</w:t>
            </w:r>
            <w:r w:rsidRPr="00397E82">
              <w:rPr>
                <w:rFonts w:ascii="Arial" w:hAnsi="Arial" w:cs="Arial"/>
                <w:bCs/>
              </w:rPr>
              <w:t>7</w:t>
            </w:r>
          </w:p>
        </w:tc>
        <w:tc>
          <w:tcPr>
            <w:tcW w:w="2374"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hint="eastAsia"/>
                <w:bCs/>
              </w:rPr>
              <w:t>20</w:t>
            </w:r>
            <w:r w:rsidRPr="00397E82">
              <w:rPr>
                <w:rFonts w:ascii="Arial" w:hAnsi="Arial" w:cs="Arial"/>
                <w:bCs/>
              </w:rPr>
              <w:t>1.2</w:t>
            </w:r>
          </w:p>
        </w:tc>
        <w:tc>
          <w:tcPr>
            <w:tcW w:w="2375"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hint="eastAsia"/>
                <w:bCs/>
              </w:rPr>
              <w:t>180.4</w:t>
            </w:r>
          </w:p>
        </w:tc>
      </w:tr>
    </w:tbl>
    <w:p w:rsidR="007E486E" w:rsidRPr="00767791" w:rsidRDefault="007E486E" w:rsidP="007E486E">
      <w:pPr>
        <w:spacing w:line="276" w:lineRule="auto"/>
        <w:rPr>
          <w:rFonts w:ascii="Arial" w:eastAsiaTheme="minorHAnsi" w:hAnsi="Arial" w:cs="Arial"/>
          <w:b/>
          <w:bCs/>
        </w:rPr>
      </w:pPr>
    </w:p>
    <w:tbl>
      <w:tblPr>
        <w:tblStyle w:val="Tabellengitternetz"/>
        <w:tblW w:w="9497" w:type="dxa"/>
        <w:tblInd w:w="137" w:type="dxa"/>
        <w:tblLook w:val="04A0"/>
      </w:tblPr>
      <w:tblGrid>
        <w:gridCol w:w="2374"/>
        <w:gridCol w:w="2374"/>
        <w:gridCol w:w="2374"/>
        <w:gridCol w:w="2375"/>
      </w:tblGrid>
      <w:tr w:rsidR="007E486E" w:rsidRPr="00CD1AE4" w:rsidTr="00942840">
        <w:trPr>
          <w:trHeight w:val="312"/>
        </w:trPr>
        <w:tc>
          <w:tcPr>
            <w:tcW w:w="2374" w:type="dxa"/>
            <w:shd w:val="clear" w:color="auto" w:fill="7F7F7F" w:themeFill="text1" w:themeFillTint="80"/>
            <w:vAlign w:val="center"/>
          </w:tcPr>
          <w:p w:rsidR="007E486E" w:rsidRPr="00CD1AE4" w:rsidRDefault="007E486E" w:rsidP="00942840">
            <w:pPr>
              <w:spacing w:line="276" w:lineRule="auto"/>
              <w:jc w:val="center"/>
              <w:rPr>
                <w:rFonts w:ascii="Arial" w:hAnsi="Arial" w:cs="Arial"/>
                <w:b/>
                <w:bCs/>
                <w:color w:val="FFFFFF" w:themeColor="background1"/>
                <w:szCs w:val="18"/>
              </w:rPr>
            </w:pPr>
            <w:r w:rsidRPr="00CD1AE4">
              <w:rPr>
                <w:rFonts w:ascii="Arial" w:hAnsi="Arial" w:cs="Arial" w:hint="eastAsia"/>
                <w:b/>
                <w:bCs/>
                <w:color w:val="FFFFFF" w:themeColor="background1"/>
              </w:rPr>
              <w:t>(Unit: Million EUR)</w:t>
            </w:r>
          </w:p>
        </w:tc>
        <w:tc>
          <w:tcPr>
            <w:tcW w:w="2374" w:type="dxa"/>
            <w:shd w:val="clear" w:color="auto" w:fill="7F7F7F" w:themeFill="text1" w:themeFillTint="80"/>
            <w:vAlign w:val="center"/>
          </w:tcPr>
          <w:p w:rsidR="007E486E" w:rsidRPr="00CD1AE4" w:rsidRDefault="007E486E" w:rsidP="00942840">
            <w:pPr>
              <w:spacing w:line="276" w:lineRule="auto"/>
              <w:jc w:val="center"/>
              <w:rPr>
                <w:rFonts w:ascii="Arial" w:hAnsi="Arial" w:cs="Arial"/>
                <w:b/>
                <w:bCs/>
                <w:color w:val="FFFFFF" w:themeColor="background1"/>
                <w:szCs w:val="18"/>
              </w:rPr>
            </w:pPr>
            <w:r w:rsidRPr="00CD1AE4">
              <w:rPr>
                <w:rFonts w:ascii="Arial" w:hAnsi="Arial" w:cs="Arial"/>
                <w:b/>
                <w:bCs/>
                <w:color w:val="FFFFFF" w:themeColor="background1"/>
                <w:szCs w:val="18"/>
              </w:rPr>
              <w:t>Q2 FY 2016</w:t>
            </w:r>
          </w:p>
        </w:tc>
        <w:tc>
          <w:tcPr>
            <w:tcW w:w="2374" w:type="dxa"/>
            <w:shd w:val="clear" w:color="auto" w:fill="7F7F7F" w:themeFill="text1" w:themeFillTint="80"/>
            <w:vAlign w:val="center"/>
          </w:tcPr>
          <w:p w:rsidR="007E486E" w:rsidRPr="00CD1AE4" w:rsidRDefault="007E486E" w:rsidP="00942840">
            <w:pPr>
              <w:spacing w:line="276" w:lineRule="auto"/>
              <w:jc w:val="center"/>
              <w:rPr>
                <w:rFonts w:ascii="Arial" w:hAnsi="Arial" w:cs="Arial"/>
                <w:b/>
                <w:bCs/>
                <w:color w:val="FFFFFF" w:themeColor="background1"/>
                <w:szCs w:val="18"/>
              </w:rPr>
            </w:pPr>
            <w:r w:rsidRPr="00CD1AE4">
              <w:rPr>
                <w:rFonts w:ascii="Arial" w:hAnsi="Arial" w:cs="Arial"/>
                <w:b/>
                <w:bCs/>
                <w:color w:val="FFFFFF" w:themeColor="background1"/>
                <w:szCs w:val="18"/>
              </w:rPr>
              <w:t>Q1 FY 2017</w:t>
            </w:r>
          </w:p>
        </w:tc>
        <w:tc>
          <w:tcPr>
            <w:tcW w:w="2375" w:type="dxa"/>
            <w:shd w:val="clear" w:color="auto" w:fill="7F7F7F" w:themeFill="text1" w:themeFillTint="80"/>
            <w:vAlign w:val="center"/>
          </w:tcPr>
          <w:p w:rsidR="007E486E" w:rsidRPr="00CD1AE4" w:rsidRDefault="007E486E" w:rsidP="00942840">
            <w:pPr>
              <w:spacing w:line="276" w:lineRule="auto"/>
              <w:jc w:val="center"/>
              <w:rPr>
                <w:rFonts w:ascii="Arial" w:hAnsi="Arial" w:cs="Arial"/>
                <w:b/>
                <w:bCs/>
                <w:color w:val="FFFFFF" w:themeColor="background1"/>
                <w:szCs w:val="18"/>
              </w:rPr>
            </w:pPr>
            <w:r w:rsidRPr="00CD1AE4">
              <w:rPr>
                <w:rFonts w:ascii="Arial" w:hAnsi="Arial" w:cs="Arial"/>
                <w:b/>
                <w:bCs/>
                <w:color w:val="FFFFFF" w:themeColor="background1"/>
                <w:szCs w:val="18"/>
              </w:rPr>
              <w:t>Q2 FY 2017</w:t>
            </w:r>
          </w:p>
        </w:tc>
      </w:tr>
      <w:tr w:rsidR="007E486E" w:rsidRPr="00767791" w:rsidTr="00942840">
        <w:trPr>
          <w:trHeight w:val="312"/>
        </w:trPr>
        <w:tc>
          <w:tcPr>
            <w:tcW w:w="2374" w:type="dxa"/>
            <w:shd w:val="clear" w:color="auto" w:fill="F2F2F2" w:themeFill="background1" w:themeFillShade="F2"/>
            <w:vAlign w:val="center"/>
          </w:tcPr>
          <w:p w:rsidR="007E486E" w:rsidRPr="00397E82" w:rsidRDefault="007E486E" w:rsidP="00942840">
            <w:pPr>
              <w:spacing w:line="276" w:lineRule="auto"/>
              <w:jc w:val="center"/>
              <w:rPr>
                <w:rFonts w:ascii="Arial" w:hAnsi="Arial" w:cs="Arial"/>
                <w:bCs/>
                <w:szCs w:val="18"/>
              </w:rPr>
            </w:pPr>
            <w:r w:rsidRPr="00397E82">
              <w:rPr>
                <w:rFonts w:ascii="Arial" w:hAnsi="Arial" w:cs="Arial"/>
                <w:bCs/>
                <w:szCs w:val="18"/>
              </w:rPr>
              <w:t>Sales</w:t>
            </w:r>
          </w:p>
        </w:tc>
        <w:tc>
          <w:tcPr>
            <w:tcW w:w="2374"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hint="eastAsia"/>
                <w:bCs/>
              </w:rPr>
              <w:t>1</w:t>
            </w:r>
            <w:r w:rsidRPr="00397E82">
              <w:rPr>
                <w:rFonts w:ascii="Arial" w:hAnsi="Arial" w:cs="Arial"/>
                <w:bCs/>
              </w:rPr>
              <w:t>,</w:t>
            </w:r>
            <w:r w:rsidRPr="00397E82">
              <w:rPr>
                <w:rFonts w:ascii="Arial" w:hAnsi="Arial" w:cs="Arial" w:hint="eastAsia"/>
                <w:bCs/>
              </w:rPr>
              <w:t>3</w:t>
            </w:r>
            <w:r w:rsidRPr="00397E82">
              <w:rPr>
                <w:rFonts w:ascii="Arial" w:hAnsi="Arial" w:cs="Arial"/>
                <w:bCs/>
              </w:rPr>
              <w:t>15.4</w:t>
            </w:r>
          </w:p>
        </w:tc>
        <w:tc>
          <w:tcPr>
            <w:tcW w:w="2374"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hint="eastAsia"/>
                <w:bCs/>
              </w:rPr>
              <w:t>1</w:t>
            </w:r>
            <w:r w:rsidRPr="00397E82">
              <w:rPr>
                <w:rFonts w:ascii="Arial" w:hAnsi="Arial" w:cs="Arial"/>
                <w:bCs/>
              </w:rPr>
              <w:t>,</w:t>
            </w:r>
            <w:r w:rsidRPr="00397E82">
              <w:rPr>
                <w:rFonts w:ascii="Arial" w:hAnsi="Arial" w:cs="Arial" w:hint="eastAsia"/>
                <w:bCs/>
              </w:rPr>
              <w:t>3</w:t>
            </w:r>
            <w:r w:rsidRPr="00397E82">
              <w:rPr>
                <w:rFonts w:ascii="Arial" w:hAnsi="Arial" w:cs="Arial"/>
                <w:bCs/>
              </w:rPr>
              <w:t>33.2</w:t>
            </w:r>
          </w:p>
        </w:tc>
        <w:tc>
          <w:tcPr>
            <w:tcW w:w="2375"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hint="eastAsia"/>
                <w:bCs/>
              </w:rPr>
              <w:t>1</w:t>
            </w:r>
            <w:r>
              <w:rPr>
                <w:rFonts w:ascii="Arial" w:hAnsi="Arial" w:cs="Arial"/>
                <w:bCs/>
              </w:rPr>
              <w:t>,</w:t>
            </w:r>
            <w:r w:rsidRPr="00397E82">
              <w:rPr>
                <w:rFonts w:ascii="Arial" w:hAnsi="Arial" w:cs="Arial" w:hint="eastAsia"/>
                <w:bCs/>
              </w:rPr>
              <w:t>341.1</w:t>
            </w:r>
          </w:p>
        </w:tc>
      </w:tr>
      <w:tr w:rsidR="007E486E" w:rsidTr="00942840">
        <w:trPr>
          <w:trHeight w:val="312"/>
        </w:trPr>
        <w:tc>
          <w:tcPr>
            <w:tcW w:w="2374" w:type="dxa"/>
            <w:shd w:val="clear" w:color="auto" w:fill="F2F2F2" w:themeFill="background1" w:themeFillShade="F2"/>
            <w:vAlign w:val="center"/>
          </w:tcPr>
          <w:p w:rsidR="007E486E" w:rsidRPr="00397E82" w:rsidRDefault="007E486E" w:rsidP="00942840">
            <w:pPr>
              <w:spacing w:line="276" w:lineRule="auto"/>
              <w:jc w:val="center"/>
              <w:rPr>
                <w:rFonts w:ascii="Arial" w:hAnsi="Arial" w:cs="Arial"/>
                <w:bCs/>
                <w:szCs w:val="18"/>
              </w:rPr>
            </w:pPr>
            <w:r w:rsidRPr="00397E82">
              <w:rPr>
                <w:rFonts w:ascii="Arial" w:hAnsi="Arial" w:cs="Arial"/>
                <w:bCs/>
                <w:szCs w:val="18"/>
              </w:rPr>
              <w:t>Operating Profit</w:t>
            </w:r>
          </w:p>
        </w:tc>
        <w:tc>
          <w:tcPr>
            <w:tcW w:w="2374"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hint="eastAsia"/>
                <w:bCs/>
              </w:rPr>
              <w:t>2</w:t>
            </w:r>
            <w:r w:rsidRPr="00397E82">
              <w:rPr>
                <w:rFonts w:ascii="Arial" w:hAnsi="Arial" w:cs="Arial"/>
                <w:bCs/>
              </w:rPr>
              <w:t>36</w:t>
            </w:r>
            <w:r w:rsidRPr="00397E82">
              <w:rPr>
                <w:rFonts w:ascii="Arial" w:hAnsi="Arial" w:cs="Arial" w:hint="eastAsia"/>
                <w:bCs/>
              </w:rPr>
              <w:t>.</w:t>
            </w:r>
            <w:r w:rsidRPr="00397E82">
              <w:rPr>
                <w:rFonts w:ascii="Arial" w:hAnsi="Arial" w:cs="Arial"/>
                <w:bCs/>
              </w:rPr>
              <w:t>3</w:t>
            </w:r>
          </w:p>
        </w:tc>
        <w:tc>
          <w:tcPr>
            <w:tcW w:w="2374"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hint="eastAsia"/>
                <w:bCs/>
              </w:rPr>
              <w:t>18</w:t>
            </w:r>
            <w:r w:rsidRPr="00397E82">
              <w:rPr>
                <w:rFonts w:ascii="Arial" w:hAnsi="Arial" w:cs="Arial"/>
                <w:bCs/>
              </w:rPr>
              <w:t>8.9</w:t>
            </w:r>
          </w:p>
        </w:tc>
        <w:tc>
          <w:tcPr>
            <w:tcW w:w="2375" w:type="dxa"/>
            <w:vAlign w:val="center"/>
          </w:tcPr>
          <w:p w:rsidR="007E486E" w:rsidRPr="00397E82" w:rsidRDefault="007E486E" w:rsidP="00942840">
            <w:pPr>
              <w:spacing w:line="276" w:lineRule="auto"/>
              <w:jc w:val="center"/>
              <w:rPr>
                <w:rFonts w:ascii="Arial" w:hAnsi="Arial" w:cs="Arial"/>
                <w:bCs/>
              </w:rPr>
            </w:pPr>
            <w:r w:rsidRPr="00397E82">
              <w:rPr>
                <w:rFonts w:ascii="Arial" w:hAnsi="Arial" w:cs="Arial" w:hint="eastAsia"/>
                <w:bCs/>
              </w:rPr>
              <w:t>163.9</w:t>
            </w:r>
          </w:p>
        </w:tc>
      </w:tr>
    </w:tbl>
    <w:p w:rsidR="007E486E" w:rsidRDefault="007E486E" w:rsidP="007E486E">
      <w:pPr>
        <w:spacing w:line="276" w:lineRule="auto"/>
        <w:rPr>
          <w:rFonts w:ascii="Arial" w:eastAsiaTheme="minorHAnsi" w:hAnsi="Arial" w:cs="Arial"/>
          <w:b/>
          <w:bCs/>
        </w:rPr>
      </w:pPr>
    </w:p>
    <w:p w:rsidR="007E486E" w:rsidRPr="00CD1AE4" w:rsidRDefault="007E486E" w:rsidP="007E486E">
      <w:pPr>
        <w:spacing w:line="276" w:lineRule="auto"/>
        <w:rPr>
          <w:rFonts w:ascii="Arial" w:eastAsiaTheme="minorHAnsi" w:hAnsi="Arial" w:cs="Arial"/>
          <w:b/>
          <w:bCs/>
          <w:sz w:val="24"/>
        </w:rPr>
      </w:pPr>
      <w:r w:rsidRPr="00CD1AE4">
        <w:rPr>
          <w:rFonts w:ascii="Arial" w:eastAsiaTheme="minorHAnsi" w:hAnsi="Arial" w:cs="Arial" w:hint="eastAsia"/>
          <w:b/>
          <w:bCs/>
          <w:sz w:val="24"/>
        </w:rPr>
        <w:t>*Exchange Rates</w:t>
      </w:r>
    </w:p>
    <w:tbl>
      <w:tblPr>
        <w:tblStyle w:val="Tabellengitternetz"/>
        <w:tblW w:w="950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75"/>
        <w:gridCol w:w="2375"/>
        <w:gridCol w:w="2375"/>
        <w:gridCol w:w="2375"/>
      </w:tblGrid>
      <w:tr w:rsidR="007E486E" w:rsidRPr="00CD1AE4" w:rsidTr="00942840">
        <w:trPr>
          <w:trHeight w:val="312"/>
        </w:trPr>
        <w:tc>
          <w:tcPr>
            <w:tcW w:w="2375" w:type="dxa"/>
            <w:shd w:val="clear" w:color="auto" w:fill="7F7F7F" w:themeFill="text1" w:themeFillTint="80"/>
            <w:vAlign w:val="center"/>
          </w:tcPr>
          <w:p w:rsidR="007E486E" w:rsidRPr="00CD1AE4" w:rsidRDefault="007E486E" w:rsidP="00942840">
            <w:pPr>
              <w:snapToGrid w:val="0"/>
              <w:ind w:rightChars="56" w:right="112"/>
              <w:jc w:val="center"/>
              <w:rPr>
                <w:rFonts w:ascii="Arial" w:eastAsiaTheme="majorEastAsia" w:hAnsi="Arial" w:cs="Arial"/>
                <w:b/>
                <w:color w:val="FFFFFF" w:themeColor="background1"/>
              </w:rPr>
            </w:pPr>
          </w:p>
        </w:tc>
        <w:tc>
          <w:tcPr>
            <w:tcW w:w="2375" w:type="dxa"/>
            <w:shd w:val="clear" w:color="auto" w:fill="7F7F7F" w:themeFill="text1" w:themeFillTint="80"/>
            <w:vAlign w:val="center"/>
          </w:tcPr>
          <w:p w:rsidR="007E486E" w:rsidRPr="00CD1AE4" w:rsidRDefault="007E486E" w:rsidP="00942840">
            <w:pPr>
              <w:snapToGrid w:val="0"/>
              <w:ind w:rightChars="56" w:right="112"/>
              <w:jc w:val="center"/>
              <w:rPr>
                <w:rFonts w:ascii="Arial" w:eastAsiaTheme="majorEastAsia" w:hAnsi="Arial" w:cs="Arial"/>
                <w:b/>
                <w:color w:val="FFFFFF" w:themeColor="background1"/>
              </w:rPr>
            </w:pPr>
            <w:r w:rsidRPr="00CD1AE4">
              <w:rPr>
                <w:rFonts w:ascii="Arial" w:eastAsiaTheme="majorEastAsia" w:hAnsi="Arial" w:cs="Arial" w:hint="eastAsia"/>
                <w:b/>
                <w:color w:val="FFFFFF" w:themeColor="background1"/>
              </w:rPr>
              <w:t>Q2 FY 2016</w:t>
            </w:r>
          </w:p>
        </w:tc>
        <w:tc>
          <w:tcPr>
            <w:tcW w:w="2375" w:type="dxa"/>
            <w:shd w:val="clear" w:color="auto" w:fill="7F7F7F" w:themeFill="text1" w:themeFillTint="80"/>
            <w:vAlign w:val="center"/>
          </w:tcPr>
          <w:p w:rsidR="007E486E" w:rsidRPr="00CD1AE4" w:rsidRDefault="007E486E" w:rsidP="00942840">
            <w:pPr>
              <w:snapToGrid w:val="0"/>
              <w:ind w:rightChars="56" w:right="112"/>
              <w:jc w:val="center"/>
              <w:rPr>
                <w:rFonts w:ascii="Arial" w:eastAsiaTheme="majorEastAsia" w:hAnsi="Arial" w:cs="Arial"/>
                <w:b/>
                <w:color w:val="FFFFFF" w:themeColor="background1"/>
              </w:rPr>
            </w:pPr>
            <w:r w:rsidRPr="00CD1AE4">
              <w:rPr>
                <w:rFonts w:ascii="Arial" w:eastAsiaTheme="majorEastAsia" w:hAnsi="Arial" w:cs="Arial"/>
                <w:b/>
                <w:color w:val="FFFFFF" w:themeColor="background1"/>
              </w:rPr>
              <w:t>Q1 FY 2017</w:t>
            </w:r>
          </w:p>
        </w:tc>
        <w:tc>
          <w:tcPr>
            <w:tcW w:w="2375" w:type="dxa"/>
            <w:shd w:val="clear" w:color="auto" w:fill="7F7F7F" w:themeFill="text1" w:themeFillTint="80"/>
            <w:vAlign w:val="center"/>
          </w:tcPr>
          <w:p w:rsidR="007E486E" w:rsidRPr="00CD1AE4" w:rsidRDefault="007E486E" w:rsidP="00942840">
            <w:pPr>
              <w:snapToGrid w:val="0"/>
              <w:ind w:rightChars="56" w:right="112"/>
              <w:jc w:val="center"/>
              <w:rPr>
                <w:rFonts w:ascii="Arial" w:eastAsiaTheme="majorEastAsia" w:hAnsi="Arial" w:cs="Arial"/>
                <w:b/>
                <w:color w:val="FFFFFF" w:themeColor="background1"/>
              </w:rPr>
            </w:pPr>
            <w:r w:rsidRPr="00CD1AE4">
              <w:rPr>
                <w:rFonts w:ascii="Arial" w:eastAsiaTheme="majorEastAsia" w:hAnsi="Arial" w:cs="Arial" w:hint="eastAsia"/>
                <w:b/>
                <w:color w:val="FFFFFF" w:themeColor="background1"/>
              </w:rPr>
              <w:t>Q2 FY 2017</w:t>
            </w:r>
          </w:p>
        </w:tc>
      </w:tr>
      <w:tr w:rsidR="007E486E" w:rsidRPr="00767791" w:rsidTr="00942840">
        <w:trPr>
          <w:trHeight w:val="312"/>
        </w:trPr>
        <w:tc>
          <w:tcPr>
            <w:tcW w:w="2375" w:type="dxa"/>
            <w:vAlign w:val="center"/>
          </w:tcPr>
          <w:p w:rsidR="007E486E" w:rsidRPr="00767791" w:rsidRDefault="007E486E" w:rsidP="00942840">
            <w:pPr>
              <w:snapToGrid w:val="0"/>
              <w:ind w:rightChars="56" w:right="112"/>
              <w:jc w:val="center"/>
              <w:rPr>
                <w:rFonts w:ascii="Arial" w:eastAsiaTheme="majorEastAsia" w:hAnsi="Arial" w:cs="Arial"/>
              </w:rPr>
            </w:pPr>
            <w:r w:rsidRPr="00767791">
              <w:rPr>
                <w:rFonts w:ascii="Arial" w:eastAsiaTheme="majorEastAsia" w:hAnsi="Arial" w:cs="Arial"/>
              </w:rPr>
              <w:t>USD / KRW</w:t>
            </w:r>
          </w:p>
        </w:tc>
        <w:tc>
          <w:tcPr>
            <w:tcW w:w="2375" w:type="dxa"/>
            <w:vAlign w:val="center"/>
          </w:tcPr>
          <w:p w:rsidR="007E486E" w:rsidRPr="00767791" w:rsidRDefault="007E486E" w:rsidP="00942840">
            <w:pPr>
              <w:jc w:val="center"/>
              <w:rPr>
                <w:rFonts w:ascii="Arial" w:eastAsiaTheme="majorEastAsia" w:hAnsi="Arial" w:cs="Arial"/>
              </w:rPr>
            </w:pPr>
            <w:r w:rsidRPr="00767791">
              <w:rPr>
                <w:rFonts w:ascii="Arial" w:eastAsiaTheme="majorEastAsia" w:hAnsi="Arial" w:cs="Arial" w:hint="eastAsia"/>
              </w:rPr>
              <w:t>1,1</w:t>
            </w:r>
            <w:r w:rsidRPr="00767791">
              <w:rPr>
                <w:rFonts w:ascii="Arial" w:eastAsiaTheme="majorEastAsia" w:hAnsi="Arial" w:cs="Arial"/>
              </w:rPr>
              <w:t>63</w:t>
            </w:r>
            <w:r w:rsidRPr="00767791">
              <w:rPr>
                <w:rFonts w:ascii="Arial" w:eastAsiaTheme="majorEastAsia" w:hAnsi="Arial" w:cs="Arial" w:hint="eastAsia"/>
              </w:rPr>
              <w:t>.</w:t>
            </w:r>
            <w:r w:rsidRPr="00767791">
              <w:rPr>
                <w:rFonts w:ascii="Arial" w:eastAsiaTheme="majorEastAsia" w:hAnsi="Arial" w:cs="Arial"/>
              </w:rPr>
              <w:t>30</w:t>
            </w:r>
          </w:p>
        </w:tc>
        <w:tc>
          <w:tcPr>
            <w:tcW w:w="2375" w:type="dxa"/>
            <w:vAlign w:val="center"/>
          </w:tcPr>
          <w:p w:rsidR="007E486E" w:rsidRPr="00767791" w:rsidRDefault="007E486E" w:rsidP="00942840">
            <w:pPr>
              <w:jc w:val="center"/>
              <w:rPr>
                <w:rFonts w:ascii="Arial" w:eastAsiaTheme="majorEastAsia" w:hAnsi="Arial" w:cs="Arial"/>
              </w:rPr>
            </w:pPr>
            <w:r w:rsidRPr="00767791">
              <w:rPr>
                <w:rFonts w:ascii="Arial" w:eastAsiaTheme="majorEastAsia" w:hAnsi="Arial" w:cs="Arial"/>
              </w:rPr>
              <w:t>1,154.28</w:t>
            </w:r>
          </w:p>
        </w:tc>
        <w:tc>
          <w:tcPr>
            <w:tcW w:w="2375" w:type="dxa"/>
            <w:vAlign w:val="center"/>
          </w:tcPr>
          <w:p w:rsidR="007E486E" w:rsidRPr="00767791" w:rsidRDefault="007E486E" w:rsidP="00942840">
            <w:pPr>
              <w:jc w:val="center"/>
              <w:rPr>
                <w:rFonts w:ascii="Arial" w:eastAsiaTheme="majorEastAsia" w:hAnsi="Arial" w:cs="Arial"/>
              </w:rPr>
            </w:pPr>
            <w:r w:rsidRPr="00767791">
              <w:rPr>
                <w:rFonts w:ascii="Arial" w:eastAsiaTheme="majorEastAsia" w:hAnsi="Arial" w:cs="Arial" w:hint="eastAsia"/>
              </w:rPr>
              <w:t>1,129.43</w:t>
            </w:r>
          </w:p>
        </w:tc>
      </w:tr>
      <w:tr w:rsidR="007E486E" w:rsidRPr="00767791" w:rsidTr="00942840">
        <w:trPr>
          <w:trHeight w:val="312"/>
        </w:trPr>
        <w:tc>
          <w:tcPr>
            <w:tcW w:w="2375" w:type="dxa"/>
            <w:vAlign w:val="center"/>
          </w:tcPr>
          <w:p w:rsidR="007E486E" w:rsidRPr="00767791" w:rsidRDefault="007E486E" w:rsidP="00942840">
            <w:pPr>
              <w:snapToGrid w:val="0"/>
              <w:ind w:rightChars="56" w:right="112"/>
              <w:jc w:val="center"/>
              <w:rPr>
                <w:rFonts w:ascii="Arial" w:eastAsiaTheme="majorEastAsia" w:hAnsi="Arial" w:cs="Arial"/>
              </w:rPr>
            </w:pPr>
            <w:r w:rsidRPr="00767791">
              <w:rPr>
                <w:rFonts w:ascii="Arial" w:eastAsiaTheme="majorEastAsia" w:hAnsi="Arial" w:cs="Arial"/>
              </w:rPr>
              <w:t>EUR / KRW</w:t>
            </w:r>
          </w:p>
        </w:tc>
        <w:tc>
          <w:tcPr>
            <w:tcW w:w="2375" w:type="dxa"/>
            <w:vAlign w:val="center"/>
          </w:tcPr>
          <w:p w:rsidR="007E486E" w:rsidRPr="00767791" w:rsidRDefault="007E486E" w:rsidP="00942840">
            <w:pPr>
              <w:jc w:val="center"/>
              <w:rPr>
                <w:rFonts w:ascii="Arial" w:eastAsiaTheme="majorEastAsia" w:hAnsi="Arial" w:cs="Arial"/>
              </w:rPr>
            </w:pPr>
            <w:r w:rsidRPr="00767791">
              <w:rPr>
                <w:rFonts w:ascii="Arial" w:eastAsiaTheme="majorEastAsia" w:hAnsi="Arial" w:cs="Arial" w:hint="eastAsia"/>
              </w:rPr>
              <w:t>1,</w:t>
            </w:r>
            <w:r w:rsidRPr="00767791">
              <w:rPr>
                <w:rFonts w:ascii="Arial" w:eastAsiaTheme="majorEastAsia" w:hAnsi="Arial" w:cs="Arial"/>
              </w:rPr>
              <w:t>313.26</w:t>
            </w:r>
          </w:p>
        </w:tc>
        <w:tc>
          <w:tcPr>
            <w:tcW w:w="2375" w:type="dxa"/>
            <w:vAlign w:val="center"/>
          </w:tcPr>
          <w:p w:rsidR="007E486E" w:rsidRPr="00767791" w:rsidRDefault="007E486E" w:rsidP="00942840">
            <w:pPr>
              <w:jc w:val="center"/>
              <w:rPr>
                <w:rFonts w:ascii="Arial" w:eastAsiaTheme="majorEastAsia" w:hAnsi="Arial" w:cs="Arial"/>
              </w:rPr>
            </w:pPr>
            <w:r w:rsidRPr="00767791">
              <w:rPr>
                <w:rFonts w:ascii="Arial" w:eastAsiaTheme="majorEastAsia" w:hAnsi="Arial" w:cs="Arial"/>
              </w:rPr>
              <w:t>1,229.54</w:t>
            </w:r>
          </w:p>
        </w:tc>
        <w:tc>
          <w:tcPr>
            <w:tcW w:w="2375" w:type="dxa"/>
            <w:vAlign w:val="center"/>
          </w:tcPr>
          <w:p w:rsidR="007E486E" w:rsidRPr="00767791" w:rsidRDefault="007E486E" w:rsidP="00942840">
            <w:pPr>
              <w:jc w:val="center"/>
              <w:rPr>
                <w:rFonts w:ascii="Arial" w:eastAsiaTheme="majorEastAsia" w:hAnsi="Arial" w:cs="Arial"/>
              </w:rPr>
            </w:pPr>
            <w:r w:rsidRPr="00767791">
              <w:rPr>
                <w:rFonts w:ascii="Arial" w:eastAsiaTheme="majorEastAsia" w:hAnsi="Arial" w:cs="Arial" w:hint="eastAsia"/>
              </w:rPr>
              <w:t>1,242.84</w:t>
            </w:r>
          </w:p>
        </w:tc>
      </w:tr>
    </w:tbl>
    <w:p w:rsidR="007E486E" w:rsidRPr="00767791" w:rsidRDefault="007E486E" w:rsidP="007E486E">
      <w:pPr>
        <w:ind w:firstLineChars="100" w:firstLine="180"/>
        <w:rPr>
          <w:rFonts w:ascii="Arial" w:eastAsiaTheme="majorEastAsia" w:hAnsi="Arial" w:cs="Arial"/>
          <w:i/>
          <w:iCs/>
          <w:sz w:val="18"/>
          <w:szCs w:val="18"/>
        </w:rPr>
      </w:pPr>
      <w:r w:rsidRPr="00767791">
        <w:rPr>
          <w:rFonts w:ascii="Arial" w:eastAsiaTheme="majorEastAsia" w:hAnsi="Arial" w:cs="Arial"/>
          <w:i/>
          <w:iCs/>
          <w:sz w:val="18"/>
          <w:szCs w:val="18"/>
        </w:rPr>
        <w:t>(NOTE: Average exchange rates for the given annual period, retrieved from Korea Exchange Bank)</w:t>
      </w:r>
    </w:p>
    <w:p w:rsidR="00C3720C" w:rsidRPr="00460DD7" w:rsidRDefault="00801E26" w:rsidP="00460DD7">
      <w:pPr>
        <w:widowControl/>
        <w:suppressAutoHyphens w:val="0"/>
        <w:jc w:val="left"/>
        <w:rPr>
          <w:rFonts w:ascii="Arial" w:hAnsi="Arial" w:cs="Arial"/>
          <w:snapToGrid w:val="0"/>
          <w:sz w:val="18"/>
          <w:szCs w:val="18"/>
          <w:u w:val="single"/>
          <w:lang w:val="de-DE"/>
        </w:rPr>
      </w:pPr>
      <w:r w:rsidRPr="00A920FD">
        <w:rPr>
          <w:rFonts w:ascii="Arial" w:hAnsi="Arial" w:cs="Arial"/>
          <w:snapToGrid w:val="0"/>
          <w:sz w:val="18"/>
          <w:szCs w:val="18"/>
          <w:u w:val="single"/>
          <w:lang w:val="de-DE"/>
        </w:rPr>
        <w:br w:type="page"/>
      </w:r>
      <w:r w:rsidR="00C3720C" w:rsidRPr="00504C33">
        <w:rPr>
          <w:b/>
          <w:bCs/>
          <w:sz w:val="21"/>
          <w:szCs w:val="21"/>
          <w:lang w:val="de-DE"/>
        </w:rPr>
        <w:lastRenderedPageBreak/>
        <w:t>Über Hankook</w:t>
      </w:r>
    </w:p>
    <w:p w:rsidR="00C3720C" w:rsidRPr="00504C33"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Als einer der fünf volumenstärksten Reifenproduzenten weltweit fertigt Hankook innovative, Hochleistungsradialreifen im Premium-Segment für Pkw, SUVs, Geländewagen, Leicht-Lkw, Wohnmobile, Lkw, Busse und den automobilen Motorsport (Rundstrecke/ Rallye).</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 xml:space="preserve">Hankook investiert kontinuierlich in Forschung und Entwicklung, um seinen Kunden stets höchste Qualität in Verbindung mit technologischer Exzellenz zu bieten. In weltweit fünf Entwicklungszentren und sieben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F84836">
        <w:rPr>
          <w:bCs/>
          <w:sz w:val="21"/>
          <w:szCs w:val="21"/>
          <w:lang w:val="de-DE"/>
        </w:rPr>
        <w:t>Rácalmás</w:t>
      </w:r>
      <w:proofErr w:type="spellEnd"/>
      <w:r w:rsidRPr="00F84836">
        <w:rPr>
          <w:bCs/>
          <w:sz w:val="21"/>
          <w:szCs w:val="21"/>
          <w:lang w:val="de-DE"/>
        </w:rPr>
        <w:t>/ Ungarn, die 2007 eingeweiht wurde und kontinuierlich erweitert wird. Derzeit produzieren dort mehr als 3.000 Beschäftigte bis zu 19 Millionen Reifen pro Jahr für Pkw, SUVs und Leicht-Lkw.</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Die Europa- und Deutschland-Zentrale des Reifenherstellers befinden sich in Neu-Isenburg bei Frankfurt am Main. In Europa unterhält Hankook weitere Niederlassungen in Großbritannien, Frankreich, Italien, Spanien, den Niederlanden, Ungarn, der Tschechischen Republik, Ru</w:t>
      </w:r>
      <w:r>
        <w:rPr>
          <w:bCs/>
          <w:sz w:val="21"/>
          <w:szCs w:val="21"/>
          <w:lang w:val="de-DE"/>
        </w:rPr>
        <w:t>ss</w:t>
      </w:r>
      <w:r w:rsidRPr="00F84836">
        <w:rPr>
          <w:bCs/>
          <w:sz w:val="21"/>
          <w:szCs w:val="21"/>
          <w:lang w:val="de-DE"/>
        </w:rPr>
        <w:t>land, der Türkei, Schweden und Polen.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Rund 30 Prozent des globalen Umsatzes erzielt das Unternehmen innerhalb Europas und der GUS.</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 xml:space="preserve">Weitere Informationen finden Sie unter </w:t>
      </w:r>
      <w:r>
        <w:rPr>
          <w:bCs/>
          <w:sz w:val="21"/>
          <w:szCs w:val="21"/>
          <w:lang w:val="de-DE"/>
        </w:rPr>
        <w:t>www.hankooktire-mediacenter.com</w:t>
      </w:r>
      <w:r w:rsidRPr="00F84836">
        <w:rPr>
          <w:bCs/>
          <w:sz w:val="21"/>
          <w:szCs w:val="21"/>
          <w:lang w:val="de-DE"/>
        </w:rPr>
        <w:t xml:space="preserve"> oder www.hankooktire.com</w:t>
      </w:r>
    </w:p>
    <w:p w:rsidR="00C3720C" w:rsidRDefault="00C3720C" w:rsidP="00C3720C">
      <w:pPr>
        <w:rPr>
          <w:rFonts w:eastAsia="Malgun Gothic"/>
          <w:sz w:val="21"/>
          <w:szCs w:val="21"/>
          <w:lang w:val="de-DE"/>
        </w:rPr>
      </w:pPr>
    </w:p>
    <w:p w:rsidR="00C3720C" w:rsidRDefault="00C3720C" w:rsidP="00C3720C">
      <w:pPr>
        <w:rPr>
          <w:rFonts w:eastAsia="Malgun Gothic"/>
          <w:sz w:val="21"/>
          <w:szCs w:val="21"/>
          <w:lang w:val="de-DE"/>
        </w:rPr>
      </w:pPr>
    </w:p>
    <w:p w:rsidR="00C3720C" w:rsidRPr="00F84836" w:rsidRDefault="00C3720C" w:rsidP="00C3720C">
      <w:pPr>
        <w:rPr>
          <w:rFonts w:eastAsia="Malgun Gothic"/>
          <w:sz w:val="21"/>
          <w:szCs w:val="21"/>
          <w:lang w:val="de-DE"/>
        </w:rPr>
      </w:pPr>
    </w:p>
    <w:p w:rsidR="00C3720C" w:rsidRPr="00F84836" w:rsidRDefault="00C3720C" w:rsidP="00C3720C">
      <w:pPr>
        <w:rPr>
          <w:rFonts w:eastAsia="Malgun Gothic"/>
          <w:sz w:val="21"/>
          <w:szCs w:val="21"/>
          <w:lang w:val="de-DE"/>
        </w:rPr>
      </w:pPr>
    </w:p>
    <w:tbl>
      <w:tblPr>
        <w:tblW w:w="9437" w:type="dxa"/>
        <w:tblInd w:w="108" w:type="dxa"/>
        <w:shd w:val="clear" w:color="auto" w:fill="F2F2F2"/>
        <w:tblLook w:val="04A0"/>
      </w:tblPr>
      <w:tblGrid>
        <w:gridCol w:w="2359"/>
        <w:gridCol w:w="2359"/>
        <w:gridCol w:w="2359"/>
        <w:gridCol w:w="2360"/>
      </w:tblGrid>
      <w:tr w:rsidR="00A920FD" w:rsidTr="00A920FD">
        <w:tc>
          <w:tcPr>
            <w:tcW w:w="9437" w:type="dxa"/>
            <w:gridSpan w:val="4"/>
            <w:shd w:val="clear" w:color="auto" w:fill="F2F2F2"/>
          </w:tcPr>
          <w:p w:rsidR="00A920FD" w:rsidRDefault="00A920FD">
            <w:pPr>
              <w:spacing w:line="320" w:lineRule="exact"/>
              <w:rPr>
                <w:rFonts w:eastAsia="Batang"/>
                <w:b/>
                <w:bCs/>
                <w:sz w:val="21"/>
                <w:szCs w:val="21"/>
                <w:u w:val="single"/>
                <w:lang w:val="nl-NL"/>
              </w:rPr>
            </w:pPr>
            <w:r>
              <w:rPr>
                <w:b/>
                <w:bCs/>
                <w:sz w:val="21"/>
                <w:szCs w:val="21"/>
                <w:u w:val="single"/>
                <w:lang w:val="nl-NL"/>
              </w:rPr>
              <w:t>Kontakt:</w:t>
            </w:r>
          </w:p>
          <w:p w:rsidR="00A920FD" w:rsidRDefault="00A920FD">
            <w:pPr>
              <w:spacing w:line="320" w:lineRule="exact"/>
              <w:rPr>
                <w:sz w:val="16"/>
                <w:szCs w:val="16"/>
                <w:lang w:val="en-US"/>
              </w:rPr>
            </w:pPr>
            <w:r>
              <w:rPr>
                <w:b/>
                <w:bCs/>
                <w:sz w:val="16"/>
                <w:szCs w:val="16"/>
                <w:lang w:val="nl-NL"/>
              </w:rPr>
              <w:t xml:space="preserve">Hankook Tire Europe GmbH | </w:t>
            </w:r>
            <w:r>
              <w:rPr>
                <w:bCs/>
                <w:sz w:val="16"/>
                <w:szCs w:val="16"/>
                <w:lang w:val="nl-NL"/>
              </w:rPr>
              <w:t>Corporate Communications Europe/CIS</w:t>
            </w:r>
            <w:r>
              <w:rPr>
                <w:b/>
                <w:bCs/>
                <w:sz w:val="16"/>
                <w:szCs w:val="16"/>
                <w:lang w:val="nl-NL"/>
              </w:rPr>
              <w:t xml:space="preserve"> | </w:t>
            </w:r>
            <w:r>
              <w:rPr>
                <w:sz w:val="16"/>
                <w:szCs w:val="16"/>
                <w:lang w:val="nl-NL"/>
              </w:rPr>
              <w:t xml:space="preserve">Siemensstr. </w:t>
            </w:r>
            <w:r>
              <w:rPr>
                <w:sz w:val="16"/>
                <w:szCs w:val="16"/>
              </w:rPr>
              <w:t xml:space="preserve">14, 63263 </w:t>
            </w:r>
            <w:proofErr w:type="spellStart"/>
            <w:r>
              <w:rPr>
                <w:sz w:val="16"/>
                <w:szCs w:val="16"/>
              </w:rPr>
              <w:t>Neu-Isenburg</w:t>
            </w:r>
            <w:proofErr w:type="spellEnd"/>
            <w:r>
              <w:rPr>
                <w:b/>
                <w:bCs/>
                <w:sz w:val="16"/>
                <w:szCs w:val="16"/>
              </w:rPr>
              <w:t xml:space="preserve"> | </w:t>
            </w:r>
            <w:r>
              <w:rPr>
                <w:sz w:val="16"/>
                <w:szCs w:val="16"/>
              </w:rPr>
              <w:t>Deutschland</w:t>
            </w:r>
          </w:p>
          <w:p w:rsidR="00A920FD" w:rsidRDefault="00A920FD">
            <w:pPr>
              <w:spacing w:line="200" w:lineRule="exact"/>
              <w:rPr>
                <w:sz w:val="21"/>
                <w:szCs w:val="21"/>
                <w:u w:val="single"/>
              </w:rPr>
            </w:pPr>
          </w:p>
        </w:tc>
      </w:tr>
      <w:tr w:rsidR="00A920FD" w:rsidTr="00A920FD">
        <w:tc>
          <w:tcPr>
            <w:tcW w:w="2359" w:type="dxa"/>
            <w:shd w:val="clear" w:color="auto" w:fill="F2F2F2"/>
          </w:tcPr>
          <w:p w:rsidR="00A920FD" w:rsidRDefault="00A920FD">
            <w:pPr>
              <w:spacing w:line="200" w:lineRule="exact"/>
              <w:rPr>
                <w:b/>
                <w:snapToGrid w:val="0"/>
                <w:sz w:val="16"/>
                <w:szCs w:val="16"/>
              </w:rPr>
            </w:pPr>
            <w:r>
              <w:rPr>
                <w:b/>
                <w:snapToGrid w:val="0"/>
                <w:sz w:val="16"/>
                <w:szCs w:val="16"/>
              </w:rPr>
              <w:t>Felix Kinzer</w:t>
            </w:r>
          </w:p>
          <w:p w:rsidR="00A920FD" w:rsidRDefault="00A920FD">
            <w:pPr>
              <w:spacing w:line="200" w:lineRule="exact"/>
              <w:rPr>
                <w:snapToGrid w:val="0"/>
                <w:sz w:val="16"/>
                <w:szCs w:val="16"/>
              </w:rPr>
            </w:pPr>
            <w:r>
              <w:rPr>
                <w:snapToGrid w:val="0"/>
                <w:sz w:val="16"/>
                <w:szCs w:val="16"/>
              </w:rPr>
              <w:t>Director</w:t>
            </w:r>
          </w:p>
          <w:p w:rsidR="00A920FD" w:rsidRDefault="00A920FD">
            <w:pPr>
              <w:spacing w:line="200" w:lineRule="exact"/>
              <w:rPr>
                <w:snapToGrid w:val="0"/>
                <w:sz w:val="16"/>
                <w:szCs w:val="16"/>
              </w:rPr>
            </w:pPr>
            <w:r>
              <w:rPr>
                <w:snapToGrid w:val="0"/>
                <w:sz w:val="16"/>
                <w:szCs w:val="16"/>
              </w:rPr>
              <w:t>Tel.: +49 (0) 61 02 8149 – 170</w:t>
            </w:r>
          </w:p>
          <w:p w:rsidR="00A920FD" w:rsidRDefault="00A920FD">
            <w:pPr>
              <w:rPr>
                <w:snapToGrid w:val="0"/>
                <w:sz w:val="16"/>
                <w:szCs w:val="16"/>
              </w:rPr>
            </w:pPr>
            <w:hyperlink r:id="rId8" w:history="1">
              <w:r>
                <w:rPr>
                  <w:rStyle w:val="Hyperlink"/>
                  <w:snapToGrid w:val="0"/>
                  <w:sz w:val="16"/>
                </w:rPr>
                <w:t>f.kinzer@hankookreifen.de</w:t>
              </w:r>
            </w:hyperlink>
          </w:p>
          <w:p w:rsidR="00A920FD" w:rsidRDefault="00A920FD">
            <w:pPr>
              <w:spacing w:line="200" w:lineRule="exact"/>
              <w:rPr>
                <w:snapToGrid w:val="0"/>
                <w:sz w:val="16"/>
                <w:szCs w:val="16"/>
              </w:rPr>
            </w:pPr>
          </w:p>
        </w:tc>
        <w:tc>
          <w:tcPr>
            <w:tcW w:w="2359" w:type="dxa"/>
            <w:shd w:val="clear" w:color="auto" w:fill="F2F2F2"/>
          </w:tcPr>
          <w:p w:rsidR="00A920FD" w:rsidRDefault="00A920FD">
            <w:pPr>
              <w:spacing w:line="200" w:lineRule="exact"/>
              <w:rPr>
                <w:sz w:val="21"/>
                <w:szCs w:val="21"/>
              </w:rPr>
            </w:pPr>
          </w:p>
        </w:tc>
        <w:tc>
          <w:tcPr>
            <w:tcW w:w="2359" w:type="dxa"/>
            <w:shd w:val="clear" w:color="auto" w:fill="F2F2F2"/>
          </w:tcPr>
          <w:p w:rsidR="00A920FD" w:rsidRDefault="00A920FD">
            <w:pPr>
              <w:spacing w:line="200" w:lineRule="exact"/>
              <w:rPr>
                <w:sz w:val="21"/>
                <w:szCs w:val="21"/>
              </w:rPr>
            </w:pPr>
          </w:p>
        </w:tc>
        <w:tc>
          <w:tcPr>
            <w:tcW w:w="2360" w:type="dxa"/>
            <w:shd w:val="clear" w:color="auto" w:fill="F2F2F2"/>
          </w:tcPr>
          <w:p w:rsidR="00A920FD" w:rsidRDefault="00A920FD">
            <w:pPr>
              <w:spacing w:line="200" w:lineRule="exact"/>
              <w:rPr>
                <w:sz w:val="21"/>
                <w:szCs w:val="21"/>
              </w:rPr>
            </w:pPr>
          </w:p>
        </w:tc>
      </w:tr>
    </w:tbl>
    <w:p w:rsidR="00C3720C" w:rsidRDefault="00C3720C" w:rsidP="00C3720C">
      <w:pPr>
        <w:widowControl/>
        <w:spacing w:line="320" w:lineRule="exact"/>
        <w:rPr>
          <w:snapToGrid w:val="0"/>
          <w:sz w:val="21"/>
          <w:szCs w:val="21"/>
        </w:rPr>
      </w:pPr>
    </w:p>
    <w:p w:rsidR="00C3720C" w:rsidRDefault="00C3720C" w:rsidP="00C3720C">
      <w:pPr>
        <w:spacing w:after="240"/>
      </w:pPr>
    </w:p>
    <w:p w:rsidR="008F5EFB" w:rsidRDefault="008F5EFB">
      <w:pPr>
        <w:spacing w:after="240"/>
      </w:pPr>
    </w:p>
    <w:sectPr w:rsidR="008F5EFB"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10" w:rsidRDefault="00A34710">
      <w:r>
        <w:separator/>
      </w:r>
    </w:p>
  </w:endnote>
  <w:endnote w:type="continuationSeparator" w:id="0">
    <w:p w:rsidR="00A34710" w:rsidRDefault="00A34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10" w:rsidRDefault="00A34710">
      <w:r>
        <w:separator/>
      </w:r>
    </w:p>
  </w:footnote>
  <w:footnote w:type="continuationSeparator" w:id="0">
    <w:p w:rsidR="00A34710" w:rsidRDefault="00A34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12" w:rsidRDefault="004918F7">
    <w:pPr>
      <w:pStyle w:val="Kopfzeile"/>
    </w:pPr>
    <w:r>
      <w:rPr>
        <w:noProof/>
        <w:lang w:val="de-DE" w:eastAsia="de-DE"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800"/>
  <w:hyphenationZone w:val="425"/>
  <w:characterSpacingControl w:val="doNotCompress"/>
  <w:hdrShapeDefaults>
    <o:shapedefaults v:ext="edit" spidmax="48129"/>
  </w:hdrShapeDefaults>
  <w:footnotePr>
    <w:footnote w:id="-1"/>
    <w:footnote w:id="0"/>
  </w:footnotePr>
  <w:endnotePr>
    <w:endnote w:id="-1"/>
    <w:endnote w:id="0"/>
  </w:endnotePr>
  <w:compat/>
  <w:rsids>
    <w:rsidRoot w:val="00775ECE"/>
    <w:rsid w:val="00005C7D"/>
    <w:rsid w:val="0001148C"/>
    <w:rsid w:val="00015B91"/>
    <w:rsid w:val="000210E7"/>
    <w:rsid w:val="000332FD"/>
    <w:rsid w:val="00037F89"/>
    <w:rsid w:val="00042B26"/>
    <w:rsid w:val="00046E26"/>
    <w:rsid w:val="000707C2"/>
    <w:rsid w:val="0008133E"/>
    <w:rsid w:val="000B01AA"/>
    <w:rsid w:val="000B78B2"/>
    <w:rsid w:val="000B7F76"/>
    <w:rsid w:val="000C38D5"/>
    <w:rsid w:val="000D0075"/>
    <w:rsid w:val="000E504D"/>
    <w:rsid w:val="000E5B09"/>
    <w:rsid w:val="000F383B"/>
    <w:rsid w:val="000F6C5B"/>
    <w:rsid w:val="000F728A"/>
    <w:rsid w:val="0011511D"/>
    <w:rsid w:val="00132F98"/>
    <w:rsid w:val="00133278"/>
    <w:rsid w:val="00145950"/>
    <w:rsid w:val="00147EB6"/>
    <w:rsid w:val="00161955"/>
    <w:rsid w:val="00163920"/>
    <w:rsid w:val="00174A7D"/>
    <w:rsid w:val="00174AC5"/>
    <w:rsid w:val="001824F2"/>
    <w:rsid w:val="00186210"/>
    <w:rsid w:val="0019686F"/>
    <w:rsid w:val="001C306C"/>
    <w:rsid w:val="001C50A7"/>
    <w:rsid w:val="001D1A33"/>
    <w:rsid w:val="001E1CA4"/>
    <w:rsid w:val="001E5860"/>
    <w:rsid w:val="001E68CD"/>
    <w:rsid w:val="001F2CE5"/>
    <w:rsid w:val="0021380A"/>
    <w:rsid w:val="00217822"/>
    <w:rsid w:val="00240B39"/>
    <w:rsid w:val="00242941"/>
    <w:rsid w:val="00253B1B"/>
    <w:rsid w:val="002643E7"/>
    <w:rsid w:val="00264A09"/>
    <w:rsid w:val="00273B43"/>
    <w:rsid w:val="00276D86"/>
    <w:rsid w:val="002821C3"/>
    <w:rsid w:val="00286C34"/>
    <w:rsid w:val="00291DD9"/>
    <w:rsid w:val="002935DB"/>
    <w:rsid w:val="002950E1"/>
    <w:rsid w:val="002A142D"/>
    <w:rsid w:val="002A6165"/>
    <w:rsid w:val="002A69FD"/>
    <w:rsid w:val="002C7CC7"/>
    <w:rsid w:val="002D644E"/>
    <w:rsid w:val="002E4D2B"/>
    <w:rsid w:val="00310D49"/>
    <w:rsid w:val="003149F7"/>
    <w:rsid w:val="00316C70"/>
    <w:rsid w:val="00322512"/>
    <w:rsid w:val="00330401"/>
    <w:rsid w:val="00332260"/>
    <w:rsid w:val="00337274"/>
    <w:rsid w:val="003402E0"/>
    <w:rsid w:val="003444F2"/>
    <w:rsid w:val="00350F43"/>
    <w:rsid w:val="0035163F"/>
    <w:rsid w:val="0035245F"/>
    <w:rsid w:val="003545E4"/>
    <w:rsid w:val="00355834"/>
    <w:rsid w:val="00362F5D"/>
    <w:rsid w:val="003705E5"/>
    <w:rsid w:val="00382B70"/>
    <w:rsid w:val="003A6919"/>
    <w:rsid w:val="003C2C07"/>
    <w:rsid w:val="003C5F06"/>
    <w:rsid w:val="003C6392"/>
    <w:rsid w:val="003C6BA6"/>
    <w:rsid w:val="003D37F2"/>
    <w:rsid w:val="003E52CE"/>
    <w:rsid w:val="003E53A1"/>
    <w:rsid w:val="003F06CF"/>
    <w:rsid w:val="00413C13"/>
    <w:rsid w:val="004328DE"/>
    <w:rsid w:val="004371CC"/>
    <w:rsid w:val="00441CF6"/>
    <w:rsid w:val="00444C13"/>
    <w:rsid w:val="004505DA"/>
    <w:rsid w:val="00454798"/>
    <w:rsid w:val="00456D85"/>
    <w:rsid w:val="00457514"/>
    <w:rsid w:val="00460DD7"/>
    <w:rsid w:val="00461C61"/>
    <w:rsid w:val="004640F5"/>
    <w:rsid w:val="004669C0"/>
    <w:rsid w:val="00474807"/>
    <w:rsid w:val="00475B2E"/>
    <w:rsid w:val="004806D6"/>
    <w:rsid w:val="00481CBF"/>
    <w:rsid w:val="00490254"/>
    <w:rsid w:val="00490ABB"/>
    <w:rsid w:val="004918F7"/>
    <w:rsid w:val="00497D50"/>
    <w:rsid w:val="004B4FF9"/>
    <w:rsid w:val="004C0BF7"/>
    <w:rsid w:val="004C59E3"/>
    <w:rsid w:val="004E6DC0"/>
    <w:rsid w:val="004F042B"/>
    <w:rsid w:val="004F0F5C"/>
    <w:rsid w:val="004F4650"/>
    <w:rsid w:val="005131AB"/>
    <w:rsid w:val="0051481D"/>
    <w:rsid w:val="00516754"/>
    <w:rsid w:val="00521642"/>
    <w:rsid w:val="005319AE"/>
    <w:rsid w:val="00534087"/>
    <w:rsid w:val="00545866"/>
    <w:rsid w:val="005476DB"/>
    <w:rsid w:val="00552AA7"/>
    <w:rsid w:val="00576299"/>
    <w:rsid w:val="00580D4A"/>
    <w:rsid w:val="005A1096"/>
    <w:rsid w:val="005A1295"/>
    <w:rsid w:val="005C2BC8"/>
    <w:rsid w:val="005E387E"/>
    <w:rsid w:val="005E7787"/>
    <w:rsid w:val="00600B02"/>
    <w:rsid w:val="00623E1A"/>
    <w:rsid w:val="006369D3"/>
    <w:rsid w:val="0064744E"/>
    <w:rsid w:val="00655428"/>
    <w:rsid w:val="00656AB1"/>
    <w:rsid w:val="006646A8"/>
    <w:rsid w:val="0066590E"/>
    <w:rsid w:val="00666B30"/>
    <w:rsid w:val="006828D9"/>
    <w:rsid w:val="00694D9B"/>
    <w:rsid w:val="006A0748"/>
    <w:rsid w:val="006A5B18"/>
    <w:rsid w:val="006A6B65"/>
    <w:rsid w:val="006B21DA"/>
    <w:rsid w:val="007038E8"/>
    <w:rsid w:val="0070454C"/>
    <w:rsid w:val="007121B6"/>
    <w:rsid w:val="00712A4A"/>
    <w:rsid w:val="00735892"/>
    <w:rsid w:val="007366F3"/>
    <w:rsid w:val="00740E19"/>
    <w:rsid w:val="0074170A"/>
    <w:rsid w:val="0074471C"/>
    <w:rsid w:val="00753B81"/>
    <w:rsid w:val="00763E80"/>
    <w:rsid w:val="00765EB6"/>
    <w:rsid w:val="00770260"/>
    <w:rsid w:val="0077205B"/>
    <w:rsid w:val="00775ECE"/>
    <w:rsid w:val="00784B0F"/>
    <w:rsid w:val="00797CEF"/>
    <w:rsid w:val="007A21B7"/>
    <w:rsid w:val="007A27CA"/>
    <w:rsid w:val="007C4D8D"/>
    <w:rsid w:val="007C7385"/>
    <w:rsid w:val="007D3C03"/>
    <w:rsid w:val="007E486E"/>
    <w:rsid w:val="007E6905"/>
    <w:rsid w:val="008012BD"/>
    <w:rsid w:val="00801E26"/>
    <w:rsid w:val="008333FD"/>
    <w:rsid w:val="00843333"/>
    <w:rsid w:val="00857EBB"/>
    <w:rsid w:val="008923C0"/>
    <w:rsid w:val="00892C20"/>
    <w:rsid w:val="00895E2C"/>
    <w:rsid w:val="008A0079"/>
    <w:rsid w:val="008A296E"/>
    <w:rsid w:val="008B4556"/>
    <w:rsid w:val="008B622D"/>
    <w:rsid w:val="008C2C59"/>
    <w:rsid w:val="008E0414"/>
    <w:rsid w:val="008F50A3"/>
    <w:rsid w:val="008F5EFB"/>
    <w:rsid w:val="00901E8D"/>
    <w:rsid w:val="009025B6"/>
    <w:rsid w:val="0090629F"/>
    <w:rsid w:val="009077AF"/>
    <w:rsid w:val="00910720"/>
    <w:rsid w:val="009147A7"/>
    <w:rsid w:val="00945BA0"/>
    <w:rsid w:val="0094731B"/>
    <w:rsid w:val="00973F85"/>
    <w:rsid w:val="00974B91"/>
    <w:rsid w:val="00984D92"/>
    <w:rsid w:val="00984D95"/>
    <w:rsid w:val="00986E83"/>
    <w:rsid w:val="009B1D17"/>
    <w:rsid w:val="009B3220"/>
    <w:rsid w:val="009C7AF4"/>
    <w:rsid w:val="009D5008"/>
    <w:rsid w:val="00A30159"/>
    <w:rsid w:val="00A34710"/>
    <w:rsid w:val="00A51963"/>
    <w:rsid w:val="00A54EB3"/>
    <w:rsid w:val="00A5574B"/>
    <w:rsid w:val="00A6628F"/>
    <w:rsid w:val="00A669C4"/>
    <w:rsid w:val="00A71607"/>
    <w:rsid w:val="00A723E2"/>
    <w:rsid w:val="00A81412"/>
    <w:rsid w:val="00A920FD"/>
    <w:rsid w:val="00A9664A"/>
    <w:rsid w:val="00AA18A2"/>
    <w:rsid w:val="00AA5544"/>
    <w:rsid w:val="00AB7522"/>
    <w:rsid w:val="00AC41DC"/>
    <w:rsid w:val="00AD0D5A"/>
    <w:rsid w:val="00AE0E77"/>
    <w:rsid w:val="00AF0CDF"/>
    <w:rsid w:val="00AF6D3D"/>
    <w:rsid w:val="00B031DD"/>
    <w:rsid w:val="00B06B7E"/>
    <w:rsid w:val="00B07995"/>
    <w:rsid w:val="00B07B33"/>
    <w:rsid w:val="00B10795"/>
    <w:rsid w:val="00B1442A"/>
    <w:rsid w:val="00B165CA"/>
    <w:rsid w:val="00B35145"/>
    <w:rsid w:val="00B3769D"/>
    <w:rsid w:val="00B50EC7"/>
    <w:rsid w:val="00B739CA"/>
    <w:rsid w:val="00B75E0F"/>
    <w:rsid w:val="00B77896"/>
    <w:rsid w:val="00B82C01"/>
    <w:rsid w:val="00B855DD"/>
    <w:rsid w:val="00B92153"/>
    <w:rsid w:val="00BB2959"/>
    <w:rsid w:val="00BB61EB"/>
    <w:rsid w:val="00BD1C72"/>
    <w:rsid w:val="00BD36A8"/>
    <w:rsid w:val="00BD5EC9"/>
    <w:rsid w:val="00C06C4D"/>
    <w:rsid w:val="00C137B9"/>
    <w:rsid w:val="00C1768E"/>
    <w:rsid w:val="00C2476C"/>
    <w:rsid w:val="00C2582D"/>
    <w:rsid w:val="00C3720C"/>
    <w:rsid w:val="00C50A04"/>
    <w:rsid w:val="00C55608"/>
    <w:rsid w:val="00C64052"/>
    <w:rsid w:val="00C662B0"/>
    <w:rsid w:val="00C67962"/>
    <w:rsid w:val="00C72559"/>
    <w:rsid w:val="00C75029"/>
    <w:rsid w:val="00C76CF3"/>
    <w:rsid w:val="00C8376D"/>
    <w:rsid w:val="00C904EC"/>
    <w:rsid w:val="00CA7290"/>
    <w:rsid w:val="00CC1886"/>
    <w:rsid w:val="00CC4C4A"/>
    <w:rsid w:val="00CD47A6"/>
    <w:rsid w:val="00CD49E6"/>
    <w:rsid w:val="00CE1920"/>
    <w:rsid w:val="00CE3116"/>
    <w:rsid w:val="00CE77F7"/>
    <w:rsid w:val="00CF0BEA"/>
    <w:rsid w:val="00D034AC"/>
    <w:rsid w:val="00D06239"/>
    <w:rsid w:val="00D06F56"/>
    <w:rsid w:val="00D06F63"/>
    <w:rsid w:val="00D41067"/>
    <w:rsid w:val="00D44EF8"/>
    <w:rsid w:val="00D5594D"/>
    <w:rsid w:val="00D65D77"/>
    <w:rsid w:val="00D82C1C"/>
    <w:rsid w:val="00D86271"/>
    <w:rsid w:val="00D91C79"/>
    <w:rsid w:val="00D926C2"/>
    <w:rsid w:val="00D94CDB"/>
    <w:rsid w:val="00D9534C"/>
    <w:rsid w:val="00DA2AED"/>
    <w:rsid w:val="00DB3903"/>
    <w:rsid w:val="00DB7DC8"/>
    <w:rsid w:val="00DC6A2D"/>
    <w:rsid w:val="00DD3850"/>
    <w:rsid w:val="00DD4DE4"/>
    <w:rsid w:val="00DE094C"/>
    <w:rsid w:val="00DE350E"/>
    <w:rsid w:val="00DE46EE"/>
    <w:rsid w:val="00DE67CB"/>
    <w:rsid w:val="00DF1814"/>
    <w:rsid w:val="00E02ACD"/>
    <w:rsid w:val="00E34CF3"/>
    <w:rsid w:val="00E35F7C"/>
    <w:rsid w:val="00E36A48"/>
    <w:rsid w:val="00E427BE"/>
    <w:rsid w:val="00E42E29"/>
    <w:rsid w:val="00E439B0"/>
    <w:rsid w:val="00E52217"/>
    <w:rsid w:val="00E52A5A"/>
    <w:rsid w:val="00E543B5"/>
    <w:rsid w:val="00E7463C"/>
    <w:rsid w:val="00E94C4A"/>
    <w:rsid w:val="00EA089F"/>
    <w:rsid w:val="00EB1C45"/>
    <w:rsid w:val="00EB504E"/>
    <w:rsid w:val="00ED4CA1"/>
    <w:rsid w:val="00EE06D1"/>
    <w:rsid w:val="00EF03EC"/>
    <w:rsid w:val="00EF4F15"/>
    <w:rsid w:val="00F00E85"/>
    <w:rsid w:val="00F07D00"/>
    <w:rsid w:val="00F15548"/>
    <w:rsid w:val="00F15E20"/>
    <w:rsid w:val="00F16583"/>
    <w:rsid w:val="00F350F2"/>
    <w:rsid w:val="00F377EE"/>
    <w:rsid w:val="00F420E5"/>
    <w:rsid w:val="00F5217E"/>
    <w:rsid w:val="00F53911"/>
    <w:rsid w:val="00F659A5"/>
    <w:rsid w:val="00F819C7"/>
    <w:rsid w:val="00F85129"/>
    <w:rsid w:val="00FA3065"/>
    <w:rsid w:val="00FC797B"/>
    <w:rsid w:val="00FD5F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gitternetz">
    <w:name w:val="Table Grid"/>
    <w:aliases w:val="table general,_0Table Grid"/>
    <w:basedOn w:val="NormaleTabelle"/>
    <w:rsid w:val="00B12AB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r="http://schemas.openxmlformats.org/officeDocument/2006/relationships" xmlns:w="http://schemas.openxmlformats.org/wordprocessingml/2006/main">
  <w:divs>
    <w:div w:id="411702728">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9F63-6389-488A-8147-9741325D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3769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HK116</cp:lastModifiedBy>
  <cp:revision>3</cp:revision>
  <cp:lastPrinted>2017-08-09T07:51:00Z</cp:lastPrinted>
  <dcterms:created xsi:type="dcterms:W3CDTF">2017-08-09T08:16:00Z</dcterms:created>
  <dcterms:modified xsi:type="dcterms:W3CDTF">2017-08-09T08:19:00Z</dcterms:modified>
  <dc:language>de-DE</dc:language>
</cp:coreProperties>
</file>