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1" w:rsidRPr="004200B8" w:rsidRDefault="00DE6F91" w:rsidP="00DE6F91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>
        <w:rPr>
          <w:rFonts w:ascii="Arial" w:eastAsia="Dotum" w:hAnsi="Arial" w:cs="Arial"/>
          <w:b/>
          <w:color w:val="FF6600"/>
          <w:sz w:val="32"/>
          <w:szCs w:val="32"/>
        </w:rPr>
        <w:t xml:space="preserve">A </w:t>
      </w:r>
      <w:r w:rsidR="00C4683D" w:rsidRPr="004200B8">
        <w:rPr>
          <w:rFonts w:ascii="Arial" w:eastAsia="Dotum" w:hAnsi="Arial" w:cs="Arial"/>
          <w:b/>
          <w:color w:val="FF6600"/>
          <w:sz w:val="32"/>
          <w:szCs w:val="32"/>
        </w:rPr>
        <w:t xml:space="preserve">Hankook Tire </w:t>
      </w:r>
      <w:r w:rsidRPr="004200B8">
        <w:rPr>
          <w:rFonts w:ascii="Arial" w:eastAsia="Dotum" w:hAnsi="Arial" w:cs="Arial"/>
          <w:b/>
          <w:color w:val="FF6600"/>
          <w:sz w:val="32"/>
          <w:szCs w:val="32"/>
        </w:rPr>
        <w:t>be</w:t>
      </w:r>
      <w:r w:rsidR="00381775">
        <w:rPr>
          <w:rFonts w:ascii="Arial" w:eastAsia="Dotum" w:hAnsi="Arial" w:cs="Arial"/>
          <w:b/>
          <w:color w:val="FF6600"/>
          <w:sz w:val="32"/>
          <w:szCs w:val="32"/>
        </w:rPr>
        <w:t>jelentette pénzügyi eredményeit</w:t>
      </w:r>
    </w:p>
    <w:p w:rsidR="007713B4" w:rsidRPr="004200B8" w:rsidRDefault="00C4683D" w:rsidP="007713B4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 w:rsidRPr="004200B8">
        <w:rPr>
          <w:rFonts w:ascii="Arial" w:eastAsia="Dotum" w:hAnsi="Arial" w:cs="Arial"/>
          <w:b/>
          <w:color w:val="FF6600"/>
          <w:sz w:val="32"/>
          <w:szCs w:val="32"/>
        </w:rPr>
        <w:t>2016</w:t>
      </w:r>
      <w:r w:rsidR="00DE6F91" w:rsidRPr="004200B8">
        <w:rPr>
          <w:rFonts w:ascii="Arial" w:eastAsia="Dotum" w:hAnsi="Arial" w:cs="Arial"/>
          <w:b/>
          <w:color w:val="FF6600"/>
          <w:sz w:val="32"/>
          <w:szCs w:val="32"/>
        </w:rPr>
        <w:t xml:space="preserve"> negyedik negyedévére</w:t>
      </w:r>
    </w:p>
    <w:p w:rsidR="00C4683D" w:rsidRPr="004200B8" w:rsidRDefault="00C4683D" w:rsidP="007713B4">
      <w:pPr>
        <w:snapToGrid w:val="0"/>
        <w:ind w:rightChars="-15" w:right="-30"/>
        <w:jc w:val="center"/>
        <w:rPr>
          <w:rFonts w:ascii="Arial" w:eastAsia="Dotum" w:hAnsi="Arial" w:cs="Arial"/>
          <w:b/>
          <w:color w:val="ED7D31"/>
          <w:sz w:val="32"/>
          <w:szCs w:val="32"/>
        </w:rPr>
      </w:pPr>
    </w:p>
    <w:p w:rsidR="00EC6383" w:rsidRPr="004200B8" w:rsidRDefault="00DE6F91" w:rsidP="00EC6383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rightChars="-15" w:right="-30"/>
        <w:rPr>
          <w:rFonts w:ascii="Times New Roman"/>
          <w:b/>
          <w:iCs/>
          <w:color w:val="000000" w:themeColor="text1"/>
          <w:kern w:val="0"/>
          <w:sz w:val="22"/>
          <w:szCs w:val="22"/>
        </w:rPr>
      </w:pP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A </w:t>
      </w:r>
      <w:r w:rsidR="00F3212E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Hankook </w:t>
      </w:r>
      <w:r w:rsidR="00D4713B" w:rsidRPr="009F42EC">
        <w:rPr>
          <w:rFonts w:ascii="Times New Roman"/>
          <w:b/>
          <w:iCs/>
          <w:color w:val="000000" w:themeColor="text1"/>
          <w:kern w:val="0"/>
          <w:sz w:val="21"/>
          <w:szCs w:val="21"/>
        </w:rPr>
        <w:t>1</w:t>
      </w:r>
      <w:r w:rsidR="00FE7D48" w:rsidRPr="009F42EC">
        <w:rPr>
          <w:rFonts w:ascii="Times New Roman"/>
          <w:b/>
          <w:iCs/>
          <w:color w:val="000000" w:themeColor="text1"/>
          <w:kern w:val="0"/>
          <w:sz w:val="21"/>
          <w:szCs w:val="21"/>
        </w:rPr>
        <w:t>,</w:t>
      </w:r>
      <w:r w:rsidR="00D4713B" w:rsidRPr="009F42EC">
        <w:rPr>
          <w:rFonts w:ascii="Times New Roman"/>
          <w:b/>
          <w:iCs/>
          <w:color w:val="000000" w:themeColor="text1"/>
          <w:kern w:val="0"/>
          <w:sz w:val="21"/>
          <w:szCs w:val="21"/>
        </w:rPr>
        <w:t>295</w:t>
      </w:r>
      <w:r w:rsidR="00FE7D48" w:rsidRPr="009F42EC">
        <w:rPr>
          <w:rFonts w:ascii="Times New Roman"/>
          <w:b/>
          <w:iCs/>
          <w:color w:val="000000" w:themeColor="text1"/>
          <w:kern w:val="0"/>
          <w:sz w:val="21"/>
          <w:szCs w:val="21"/>
        </w:rPr>
        <w:t xml:space="preserve"> milliárd euró</w:t>
      </w:r>
      <w:r w:rsidR="00FE7D48" w:rsidRPr="009F42EC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</w:t>
      </w:r>
      <w:r w:rsidR="00447E1D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(</w:t>
      </w:r>
      <w:r w:rsidR="00C41D29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1 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61</w:t>
      </w:r>
      <w:r w:rsidR="00C41D29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0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</w:t>
      </w:r>
      <w:r w:rsidR="00586C41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milliárd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KRW</w:t>
      </w:r>
      <w:r w:rsidR="00D4713B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)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világszintű árbevételt és </w:t>
      </w:r>
      <w:r w:rsidR="00D4713B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192,2 millió euró (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239,8 mi</w:t>
      </w:r>
      <w:r w:rsidR="00A51B88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l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liárd KRW</w:t>
      </w:r>
      <w:r w:rsidR="00D4713B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)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üzemi nyereséget jelentett be 2016 negyedik negyedévére</w:t>
      </w:r>
      <w:r w:rsidR="0038177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.</w:t>
      </w:r>
    </w:p>
    <w:p w:rsidR="005037DC" w:rsidRPr="004200B8" w:rsidRDefault="00DE6F91" w:rsidP="00A36415">
      <w:pPr>
        <w:widowControl/>
        <w:numPr>
          <w:ilvl w:val="0"/>
          <w:numId w:val="1"/>
        </w:numPr>
        <w:wordWrap/>
        <w:autoSpaceDE/>
        <w:autoSpaceDN/>
        <w:snapToGrid w:val="0"/>
        <w:spacing w:line="276" w:lineRule="auto"/>
        <w:ind w:rightChars="-15" w:right="-30"/>
        <w:rPr>
          <w:rFonts w:ascii="Times New Roman"/>
          <w:b/>
          <w:iCs/>
          <w:color w:val="000000" w:themeColor="text1"/>
          <w:kern w:val="0"/>
          <w:sz w:val="22"/>
          <w:szCs w:val="22"/>
        </w:rPr>
      </w:pP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A 2016-os év üzemi nyereség</w:t>
      </w:r>
      <w:r w:rsidR="001317CC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e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 24,7%-kal volt több az előző évi</w:t>
      </w:r>
      <w:r w:rsidR="007F1EB0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nél</w:t>
      </w:r>
      <w:r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 xml:space="preserve">, </w:t>
      </w:r>
      <w:r w:rsidR="007F1EB0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amit a prémium eredeti gyári felszerelés üzletág terén elért sikerek és az ultranagy teljesítményű abroncsok (UHPT) értékesítés</w:t>
      </w:r>
      <w:r w:rsidR="0038177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é</w:t>
      </w:r>
      <w:r w:rsidR="007F1EB0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nek növekedése segített elő a jelentősebb piacokon, különö</w:t>
      </w:r>
      <w:r w:rsidR="00A51B88" w:rsidRPr="004200B8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sen Európában és Észak-Amerikában</w:t>
      </w:r>
      <w:r w:rsidR="00381775">
        <w:rPr>
          <w:rFonts w:ascii="Times New Roman"/>
          <w:b/>
          <w:iCs/>
          <w:color w:val="000000" w:themeColor="text1"/>
          <w:kern w:val="0"/>
          <w:sz w:val="22"/>
          <w:szCs w:val="22"/>
        </w:rPr>
        <w:t>.</w:t>
      </w:r>
    </w:p>
    <w:p w:rsidR="000875D5" w:rsidRPr="004200B8" w:rsidRDefault="000875D5" w:rsidP="009042E3">
      <w:pPr>
        <w:widowControl/>
        <w:wordWrap/>
        <w:autoSpaceDE/>
        <w:autoSpaceDN/>
        <w:snapToGrid w:val="0"/>
        <w:spacing w:line="276" w:lineRule="auto"/>
        <w:ind w:rightChars="-15" w:right="-30"/>
        <w:rPr>
          <w:rFonts w:ascii="Arial" w:hAnsi="Arial" w:cs="Arial"/>
          <w:b/>
          <w:iCs/>
          <w:color w:val="000000" w:themeColor="text1"/>
          <w:kern w:val="0"/>
          <w:sz w:val="24"/>
        </w:rPr>
      </w:pPr>
    </w:p>
    <w:p w:rsidR="00D221C8" w:rsidRPr="00950A55" w:rsidRDefault="00A51B88" w:rsidP="00F61C45">
      <w:pPr>
        <w:tabs>
          <w:tab w:val="left" w:pos="1455"/>
        </w:tabs>
        <w:wordWrap/>
        <w:spacing w:after="120"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4200B8">
        <w:rPr>
          <w:rFonts w:ascii="Times New Roman"/>
          <w:b/>
          <w:iCs/>
          <w:color w:val="000000" w:themeColor="text1"/>
          <w:sz w:val="21"/>
          <w:szCs w:val="21"/>
        </w:rPr>
        <w:t>Ko</w:t>
      </w:r>
      <w:r w:rsidR="00237F39">
        <w:rPr>
          <w:rFonts w:ascii="Times New Roman"/>
          <w:b/>
          <w:iCs/>
          <w:color w:val="000000" w:themeColor="text1"/>
          <w:sz w:val="21"/>
          <w:szCs w:val="21"/>
        </w:rPr>
        <w:t>rea,</w:t>
      </w:r>
      <w:r w:rsidR="007F1EB0" w:rsidRPr="004200B8">
        <w:rPr>
          <w:rFonts w:ascii="Times New Roman"/>
          <w:b/>
          <w:iCs/>
          <w:color w:val="000000" w:themeColor="text1"/>
          <w:sz w:val="21"/>
          <w:szCs w:val="21"/>
        </w:rPr>
        <w:t xml:space="preserve"> Szöul</w:t>
      </w:r>
      <w:r w:rsidR="00AC6C32" w:rsidRPr="004200B8">
        <w:rPr>
          <w:rFonts w:ascii="Times New Roman"/>
          <w:b/>
          <w:iCs/>
          <w:color w:val="000000" w:themeColor="text1"/>
          <w:sz w:val="21"/>
          <w:szCs w:val="21"/>
        </w:rPr>
        <w:t xml:space="preserve"> / N</w:t>
      </w:r>
      <w:r w:rsidR="007F1EB0" w:rsidRPr="004200B8">
        <w:rPr>
          <w:rFonts w:ascii="Times New Roman"/>
          <w:b/>
          <w:iCs/>
          <w:color w:val="000000" w:themeColor="text1"/>
          <w:sz w:val="21"/>
          <w:szCs w:val="21"/>
        </w:rPr>
        <w:t>émetország, N</w:t>
      </w:r>
      <w:r w:rsidR="00AC6C32" w:rsidRPr="004200B8">
        <w:rPr>
          <w:rFonts w:ascii="Times New Roman"/>
          <w:b/>
          <w:iCs/>
          <w:color w:val="000000" w:themeColor="text1"/>
          <w:sz w:val="21"/>
          <w:szCs w:val="21"/>
        </w:rPr>
        <w:t>eu-Isenburg, 2017</w:t>
      </w:r>
      <w:r w:rsidR="00C41D29">
        <w:rPr>
          <w:rFonts w:ascii="Times New Roman"/>
          <w:b/>
          <w:iCs/>
          <w:color w:val="000000" w:themeColor="text1"/>
          <w:sz w:val="21"/>
          <w:szCs w:val="21"/>
        </w:rPr>
        <w:t xml:space="preserve">. </w:t>
      </w:r>
      <w:r w:rsidR="00237F39">
        <w:rPr>
          <w:rFonts w:ascii="Times New Roman"/>
          <w:b/>
          <w:iCs/>
          <w:color w:val="000000" w:themeColor="text1"/>
          <w:sz w:val="21"/>
          <w:szCs w:val="21"/>
        </w:rPr>
        <w:t>f</w:t>
      </w:r>
      <w:r w:rsidR="00147F02">
        <w:rPr>
          <w:rFonts w:ascii="Times New Roman"/>
          <w:b/>
          <w:iCs/>
          <w:color w:val="000000" w:themeColor="text1"/>
          <w:sz w:val="21"/>
          <w:szCs w:val="21"/>
        </w:rPr>
        <w:t>ebruár 14</w:t>
      </w:r>
      <w:r w:rsidR="007F1EB0" w:rsidRPr="004200B8">
        <w:rPr>
          <w:rFonts w:ascii="Times New Roman"/>
          <w:b/>
          <w:iCs/>
          <w:color w:val="000000" w:themeColor="text1"/>
          <w:sz w:val="21"/>
          <w:szCs w:val="21"/>
        </w:rPr>
        <w:t>.</w:t>
      </w:r>
      <w:r w:rsidR="00BC3FA8" w:rsidRPr="004200B8">
        <w:rPr>
          <w:rFonts w:ascii="Times New Roman"/>
          <w:iCs/>
          <w:color w:val="000000" w:themeColor="text1"/>
          <w:sz w:val="21"/>
          <w:szCs w:val="21"/>
        </w:rPr>
        <w:t xml:space="preserve"> </w:t>
      </w:r>
      <w:r w:rsidR="00C40688" w:rsidRPr="004200B8">
        <w:rPr>
          <w:rFonts w:ascii="Times New Roman"/>
          <w:iCs/>
          <w:color w:val="000000" w:themeColor="text1"/>
          <w:sz w:val="21"/>
          <w:szCs w:val="21"/>
        </w:rPr>
        <w:t xml:space="preserve">– </w:t>
      </w:r>
      <w:r w:rsidR="007F1EB0" w:rsidRPr="004200B8">
        <w:rPr>
          <w:rFonts w:ascii="Times New Roman"/>
          <w:iCs/>
          <w:color w:val="000000" w:themeColor="text1"/>
          <w:sz w:val="21"/>
          <w:szCs w:val="21"/>
        </w:rPr>
        <w:t xml:space="preserve">A </w:t>
      </w:r>
      <w:r w:rsidR="00CE5D17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Hankook </w:t>
      </w:r>
      <w:r w:rsidR="00C1195C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Tire</w:t>
      </w:r>
      <w:r w:rsidR="00CE5D17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közzétette globális pénzügyi eredményeit 2016 negyedik negyedévére</w:t>
      </w:r>
      <w:r w:rsidR="00F06FB2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1,295 milliárd euró (1</w:t>
      </w:r>
      <w:r w:rsidR="00724B36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61</w:t>
      </w:r>
      <w:r w:rsidR="00724B36">
        <w:rPr>
          <w:rFonts w:ascii="Times New Roman"/>
          <w:iCs/>
          <w:color w:val="000000" w:themeColor="text1"/>
          <w:kern w:val="0"/>
          <w:sz w:val="21"/>
          <w:szCs w:val="21"/>
        </w:rPr>
        <w:t>0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586C41">
        <w:rPr>
          <w:rFonts w:ascii="Times New Roman"/>
          <w:iCs/>
          <w:color w:val="000000" w:themeColor="text1"/>
          <w:kern w:val="0"/>
          <w:sz w:val="21"/>
          <w:szCs w:val="21"/>
        </w:rPr>
        <w:t>milliárd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KRW</w:t>
      </w:r>
      <w:r w:rsidR="00F06FB2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)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konszolidált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árbevétellel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és </w:t>
      </w:r>
      <w:r w:rsidR="00145ED1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192,2 millió euró (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239,8 milliárd KRW</w:t>
      </w:r>
      <w:r w:rsidR="00145ED1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>)</w:t>
      </w:r>
      <w:r w:rsidR="007F1EB0" w:rsidRPr="004200B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7F1EB0" w:rsidRPr="00D62752">
        <w:rPr>
          <w:rFonts w:ascii="Times New Roman"/>
          <w:iCs/>
          <w:color w:val="000000" w:themeColor="text1"/>
          <w:kern w:val="0"/>
          <w:sz w:val="21"/>
          <w:szCs w:val="21"/>
        </w:rPr>
        <w:t>üzemi nyereséggel</w:t>
      </w:r>
      <w:r w:rsidR="00560424" w:rsidRPr="00D62752"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  <w:r w:rsidR="007F1EB0" w:rsidRPr="00D62752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 vállalat által </w:t>
      </w:r>
      <w:r w:rsidR="007F1EB0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bejelentett </w:t>
      </w:r>
      <w:r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teljes</w:t>
      </w:r>
      <w:r w:rsidR="007F1EB0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2016-os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bevétel</w:t>
      </w:r>
      <w:r w:rsidR="00560424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D62752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5,163 milliárd euró (</w:t>
      </w:r>
      <w:r w:rsidR="00724B36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6 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62</w:t>
      </w:r>
      <w:r w:rsidR="00724B36">
        <w:rPr>
          <w:rFonts w:ascii="Times New Roman"/>
          <w:iCs/>
          <w:color w:val="000000" w:themeColor="text1"/>
          <w:kern w:val="0"/>
          <w:sz w:val="21"/>
          <w:szCs w:val="21"/>
        </w:rPr>
        <w:t>0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586C41">
        <w:rPr>
          <w:rFonts w:ascii="Times New Roman"/>
          <w:iCs/>
          <w:color w:val="000000" w:themeColor="text1"/>
          <w:kern w:val="0"/>
          <w:sz w:val="21"/>
          <w:szCs w:val="21"/>
        </w:rPr>
        <w:t>milliárd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KRW</w:t>
      </w:r>
      <w:r w:rsidR="007A69DF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)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,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az üzemi nyereség </w:t>
      </w:r>
      <w:r w:rsidR="00A46FAC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860,1 millió euró (</w:t>
      </w:r>
      <w:r w:rsidR="00544BA4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1 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>10</w:t>
      </w:r>
      <w:r w:rsidR="00544BA4">
        <w:rPr>
          <w:rFonts w:ascii="Times New Roman"/>
          <w:iCs/>
          <w:color w:val="000000" w:themeColor="text1"/>
          <w:kern w:val="0"/>
          <w:sz w:val="21"/>
          <w:szCs w:val="21"/>
        </w:rPr>
        <w:t>0</w:t>
      </w:r>
      <w:r w:rsidR="00455B15" w:rsidRP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9E03BE">
        <w:rPr>
          <w:rFonts w:ascii="Times New Roman"/>
          <w:iCs/>
          <w:color w:val="000000" w:themeColor="text1"/>
          <w:kern w:val="0"/>
          <w:sz w:val="21"/>
          <w:szCs w:val="21"/>
        </w:rPr>
        <w:t>milliárd</w:t>
      </w:r>
      <w:r w:rsidR="00A46FAC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KRW)</w:t>
      </w:r>
      <w:r w:rsidR="007A69DF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volt</w:t>
      </w:r>
      <w:r w:rsidR="00455B15"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</w:p>
    <w:p w:rsidR="005C05F6" w:rsidRPr="00950A55" w:rsidRDefault="00455B15" w:rsidP="00F61C45">
      <w:pPr>
        <w:tabs>
          <w:tab w:val="left" w:pos="1455"/>
        </w:tabs>
        <w:wordWrap/>
        <w:spacing w:after="120"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 </w:t>
      </w:r>
      <w:r w:rsidR="00106F2A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Hankook Tire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 jó eredményeket a világszinten vezető prémium autómárkák modelljei számára folyamatosan szállított eredeti gyári felszerelésű abroncsoknak köszönheti,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melyek a Hankook világszinten vezető csúcstechnológiája alapján készülnek kiemelkedő minőség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ben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  <w:r w:rsidR="00945782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B2E2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megnövek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dett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utánpótlási abroncs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é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rtékesítés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, különösen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az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u</w:t>
      </w:r>
      <w:r w:rsidR="003E1A1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ltra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nagy teljesítmény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ű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szegmensben, beleértve a téli gumiabroncsok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at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Európában, szintén hozzájárult a növekedéshez.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Ezen felül a </w:t>
      </w:r>
      <w:r w:rsidR="005C05F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Hankook Tire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-nak sikerült</w:t>
      </w:r>
      <w:r w:rsidR="00FC11A6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növelnie az eredeti gyári 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fel</w:t>
      </w:r>
      <w:r w:rsidR="00FC11A6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szerelés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c</w:t>
      </w:r>
      <w:r w:rsidR="00FC11A6">
        <w:rPr>
          <w:rFonts w:ascii="Times New Roman"/>
          <w:iCs/>
          <w:color w:val="000000" w:themeColor="text1"/>
          <w:kern w:val="0"/>
          <w:sz w:val="21"/>
          <w:szCs w:val="21"/>
        </w:rPr>
        <w:t>élj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á</w:t>
      </w:r>
      <w:r w:rsidR="00FC11A6">
        <w:rPr>
          <w:rFonts w:ascii="Times New Roman"/>
          <w:iCs/>
          <w:color w:val="000000" w:themeColor="text1"/>
          <w:kern w:val="0"/>
          <w:sz w:val="21"/>
          <w:szCs w:val="21"/>
        </w:rPr>
        <w:t>ra történő értékesítéseket Kínában, ami szintén hozzájárult 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kie</w:t>
      </w:r>
      <w:r w:rsidR="00FC11A6">
        <w:rPr>
          <w:rFonts w:ascii="Times New Roman"/>
          <w:iCs/>
          <w:color w:val="000000" w:themeColor="text1"/>
          <w:kern w:val="0"/>
          <w:sz w:val="21"/>
          <w:szCs w:val="21"/>
        </w:rPr>
        <w:t>gyensúlyozott növekedéshez.</w:t>
      </w:r>
    </w:p>
    <w:p w:rsidR="00200EAE" w:rsidRPr="00950A55" w:rsidRDefault="00FC11A6" w:rsidP="00F61C45">
      <w:pPr>
        <w:tabs>
          <w:tab w:val="left" w:pos="1455"/>
        </w:tabs>
        <w:wordWrap/>
        <w:spacing w:after="120"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>
        <w:rPr>
          <w:rFonts w:ascii="Times New Roman"/>
          <w:iCs/>
          <w:color w:val="000000" w:themeColor="text1"/>
          <w:kern w:val="0"/>
          <w:sz w:val="21"/>
          <w:szCs w:val="21"/>
        </w:rPr>
        <w:t>A negyedik negy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dévben az ultranagy teljesítményű (</w:t>
      </w:r>
      <w:r w:rsidR="00D24CAC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UHP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) abroncsok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árbevétele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tett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ki az összes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árbevétel 33,</w:t>
      </w:r>
      <w:r w:rsidR="0038177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5%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-át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, ami </w:t>
      </w:r>
      <w:r w:rsidR="00321F8C">
        <w:rPr>
          <w:rFonts w:ascii="Times New Roman"/>
          <w:iCs/>
          <w:color w:val="000000" w:themeColor="text1"/>
          <w:kern w:val="0"/>
          <w:sz w:val="21"/>
          <w:szCs w:val="21"/>
        </w:rPr>
        <w:t>0,</w:t>
      </w:r>
      <w:r w:rsidR="002C00E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7</w:t>
      </w:r>
      <w:r w:rsidR="00F22246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%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-os növekedést jelentett az előző év ugyanezen időszakához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viszonyítva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Egész évre vetítve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2016-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ban az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összes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árbevétel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34,5%-át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az UHP abroncsok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adták.</w:t>
      </w:r>
    </w:p>
    <w:p w:rsidR="00E1337E" w:rsidRDefault="00FC11A6" w:rsidP="00F61C45">
      <w:pPr>
        <w:tabs>
          <w:tab w:val="left" w:pos="1455"/>
        </w:tabs>
        <w:wordWrap/>
        <w:spacing w:after="120"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Az idei év célkitűzése </w:t>
      </w:r>
      <w:r w:rsidR="00544BA4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7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22</w:t>
      </w:r>
      <w:r w:rsidR="00544BA4">
        <w:rPr>
          <w:rFonts w:ascii="Times New Roman"/>
          <w:iCs/>
          <w:color w:val="000000" w:themeColor="text1"/>
          <w:kern w:val="0"/>
          <w:sz w:val="21"/>
          <w:szCs w:val="21"/>
        </w:rPr>
        <w:t>0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586C41">
        <w:rPr>
          <w:rFonts w:ascii="Times New Roman"/>
          <w:iCs/>
          <w:color w:val="000000" w:themeColor="text1"/>
          <w:kern w:val="0"/>
          <w:sz w:val="21"/>
          <w:szCs w:val="21"/>
        </w:rPr>
        <w:t>milliárd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KRW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ár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bevétel, amit a</w:t>
      </w:r>
      <w:r w:rsidR="00F748F3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Hankook Tire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az</w:t>
      </w:r>
      <w:r w:rsidR="00E1337E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UHP abroncsok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értékesítés</w:t>
      </w:r>
      <w:r w:rsidR="00E1337E">
        <w:rPr>
          <w:rFonts w:ascii="Times New Roman"/>
          <w:iCs/>
          <w:color w:val="000000" w:themeColor="text1"/>
          <w:kern w:val="0"/>
          <w:sz w:val="21"/>
          <w:szCs w:val="21"/>
        </w:rPr>
        <w:t>éne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k bővítésével tervez elérni</w:t>
      </w:r>
      <w:r w:rsidR="00E1337E">
        <w:rPr>
          <w:rFonts w:ascii="Times New Roman"/>
          <w:iCs/>
          <w:color w:val="000000" w:themeColor="text1"/>
          <w:kern w:val="0"/>
          <w:sz w:val="21"/>
          <w:szCs w:val="21"/>
        </w:rPr>
        <w:t>, illetve az új prémium kategóriás személyautó modellek eredeti gyári felszerelés üzletágával, ami hozzájárul a márka értékének növekedéséhez is.</w:t>
      </w:r>
    </w:p>
    <w:p w:rsidR="00A57A2D" w:rsidRPr="00950A55" w:rsidRDefault="00E1337E" w:rsidP="00F61C45">
      <w:pPr>
        <w:tabs>
          <w:tab w:val="left" w:pos="1455"/>
        </w:tabs>
        <w:wordWrap/>
        <w:spacing w:after="120" w:line="276" w:lineRule="auto"/>
        <w:rPr>
          <w:rFonts w:ascii="Times New Roman"/>
          <w:iCs/>
          <w:color w:val="000000" w:themeColor="text1"/>
          <w:kern w:val="0"/>
          <w:sz w:val="21"/>
          <w:szCs w:val="21"/>
        </w:rPr>
      </w:pPr>
      <w:r>
        <w:rPr>
          <w:rFonts w:ascii="Times New Roman"/>
          <w:iCs/>
          <w:color w:val="000000" w:themeColor="text1"/>
          <w:kern w:val="0"/>
          <w:sz w:val="21"/>
          <w:szCs w:val="21"/>
        </w:rPr>
        <w:t>A vállalat ezen felül az eredeti gyári felszerelésű abroncsok választékának bővítésév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e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l és a helyi kiskereskedelmi stratégiák optimalizálás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á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val</w:t>
      </w:r>
      <w:r w:rsidR="00381775" w:rsidRPr="0038177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tovább erősíti jelenlétét a világpiacon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.</w:t>
      </w:r>
    </w:p>
    <w:p w:rsidR="0007704F" w:rsidRPr="00344D69" w:rsidRDefault="00E1337E" w:rsidP="00F61C45">
      <w:pPr>
        <w:tabs>
          <w:tab w:val="left" w:pos="1455"/>
        </w:tabs>
        <w:wordWrap/>
        <w:spacing w:after="120" w:line="276" w:lineRule="auto"/>
        <w:rPr>
          <w:rFonts w:ascii="Arial" w:hAnsi="Arial" w:cs="Arial"/>
          <w:iCs/>
          <w:color w:val="000000" w:themeColor="text1"/>
          <w:kern w:val="0"/>
          <w:sz w:val="24"/>
        </w:rPr>
      </w:pP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Prémium, márkaként, </w:t>
      </w:r>
      <w:r w:rsidR="00333E80">
        <w:rPr>
          <w:rFonts w:ascii="Times New Roman"/>
          <w:iCs/>
          <w:color w:val="000000" w:themeColor="text1"/>
          <w:kern w:val="0"/>
          <w:sz w:val="21"/>
          <w:szCs w:val="21"/>
        </w:rPr>
        <w:t>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mely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az 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>innovatív vállalati kultúrá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ra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alap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ozza</w:t>
      </w:r>
      <w:r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csúcstechnológi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>áját</w:t>
      </w:r>
      <w:r w:rsidR="00A36415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,</w:t>
      </w:r>
      <w:r w:rsidR="00200EAE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a 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Hankook Tire</w:t>
      </w:r>
      <w:r w:rsidR="0038177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az innovációs teljesítményt és kreativitást serkentő munkakörnyezettel</w:t>
      </w:r>
      <w:r w:rsidR="00790CA1"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 xml:space="preserve"> </w:t>
      </w:r>
      <w:r w:rsidR="00A51B88">
        <w:rPr>
          <w:rFonts w:ascii="Times New Roman"/>
          <w:iCs/>
          <w:color w:val="000000" w:themeColor="text1"/>
          <w:kern w:val="0"/>
          <w:sz w:val="21"/>
          <w:szCs w:val="21"/>
        </w:rPr>
        <w:t>tovább gyorsítja üzleti növekedését és megerősíti vezető szerepét a technológia terén.</w:t>
      </w:r>
    </w:p>
    <w:p w:rsidR="00200EAE" w:rsidRPr="00A76580" w:rsidRDefault="00696E35" w:rsidP="00A76580">
      <w:pPr>
        <w:widowControl/>
        <w:shd w:val="clear" w:color="auto" w:fill="FFFFFF"/>
        <w:wordWrap/>
        <w:autoSpaceDE/>
        <w:autoSpaceDN/>
        <w:jc w:val="center"/>
        <w:rPr>
          <w:rFonts w:ascii="Times New Roman"/>
          <w:iCs/>
          <w:color w:val="000000" w:themeColor="text1"/>
          <w:kern w:val="0"/>
          <w:sz w:val="21"/>
          <w:szCs w:val="21"/>
        </w:rPr>
      </w:pPr>
      <w:r w:rsidRPr="00950A55">
        <w:rPr>
          <w:rFonts w:ascii="Times New Roman"/>
          <w:iCs/>
          <w:color w:val="000000" w:themeColor="text1"/>
          <w:kern w:val="0"/>
          <w:sz w:val="21"/>
          <w:szCs w:val="21"/>
        </w:rPr>
        <w:t>###</w:t>
      </w:r>
    </w:p>
    <w:p w:rsidR="00F61C45" w:rsidRDefault="00F61C45">
      <w:pPr>
        <w:widowControl/>
        <w:wordWrap/>
        <w:autoSpaceDE/>
        <w:autoSpaceDN/>
        <w:jc w:val="left"/>
        <w:rPr>
          <w:rFonts w:ascii="Arial" w:hAnsi="Arial" w:cs="Arial"/>
          <w:b/>
          <w:kern w:val="0"/>
          <w:sz w:val="24"/>
        </w:rPr>
      </w:pPr>
      <w:r>
        <w:rPr>
          <w:rFonts w:ascii="Arial" w:hAnsi="Arial" w:cs="Arial"/>
          <w:b/>
          <w:kern w:val="0"/>
          <w:sz w:val="24"/>
        </w:rPr>
        <w:br w:type="page"/>
      </w:r>
    </w:p>
    <w:p w:rsidR="004041F4" w:rsidRPr="00950A55" w:rsidRDefault="004041F4" w:rsidP="00237F39">
      <w:pPr>
        <w:wordWrap/>
        <w:snapToGrid w:val="0"/>
        <w:spacing w:line="276" w:lineRule="auto"/>
        <w:ind w:rightChars="56" w:right="112" w:firstLineChars="50" w:firstLine="120"/>
        <w:rPr>
          <w:rFonts w:ascii="Arial" w:hAnsi="Arial" w:cs="Arial"/>
          <w:b/>
          <w:kern w:val="0"/>
          <w:sz w:val="24"/>
        </w:rPr>
      </w:pPr>
      <w:r w:rsidRPr="00950A55">
        <w:rPr>
          <w:rFonts w:ascii="Arial" w:hAnsi="Arial" w:cs="Arial"/>
          <w:b/>
          <w:kern w:val="0"/>
          <w:sz w:val="24"/>
        </w:rPr>
        <w:lastRenderedPageBreak/>
        <w:t>201</w:t>
      </w:r>
      <w:r w:rsidRPr="00950A55">
        <w:rPr>
          <w:rFonts w:ascii="Arial" w:hAnsi="Arial" w:cs="Arial" w:hint="eastAsia"/>
          <w:b/>
          <w:kern w:val="0"/>
          <w:sz w:val="24"/>
        </w:rPr>
        <w:t>6</w:t>
      </w:r>
      <w:r w:rsidR="008759AC">
        <w:rPr>
          <w:rFonts w:ascii="Arial" w:hAnsi="Arial" w:cs="Arial"/>
          <w:b/>
          <w:kern w:val="0"/>
          <w:sz w:val="24"/>
        </w:rPr>
        <w:t>.</w:t>
      </w:r>
      <w:r w:rsidRPr="00950A55">
        <w:rPr>
          <w:rFonts w:ascii="Arial" w:hAnsi="Arial" w:cs="Arial"/>
          <w:b/>
          <w:kern w:val="0"/>
          <w:sz w:val="24"/>
        </w:rPr>
        <w:t xml:space="preserve"> </w:t>
      </w:r>
      <w:r w:rsidR="00300BEF">
        <w:rPr>
          <w:rFonts w:ascii="Arial" w:hAnsi="Arial" w:cs="Arial"/>
          <w:b/>
          <w:kern w:val="0"/>
          <w:sz w:val="24"/>
        </w:rPr>
        <w:t>negyedik negyedév konszolidált eredmény</w:t>
      </w: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467"/>
        <w:gridCol w:w="2346"/>
        <w:gridCol w:w="2449"/>
      </w:tblGrid>
      <w:tr w:rsidR="004041F4" w:rsidRPr="003A723F" w:rsidTr="00381775">
        <w:trPr>
          <w:trHeight w:val="362"/>
        </w:trPr>
        <w:tc>
          <w:tcPr>
            <w:tcW w:w="22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4041F4" w:rsidRPr="00B5156C" w:rsidRDefault="004041F4" w:rsidP="00237F39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</w:t>
            </w:r>
            <w:r w:rsidR="00237F39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Egység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: </w:t>
            </w:r>
            <w:r w:rsidR="00A05941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Milliárd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KRW)</w:t>
            </w:r>
          </w:p>
        </w:tc>
        <w:tc>
          <w:tcPr>
            <w:tcW w:w="26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4041F4" w:rsidRPr="00B5156C" w:rsidRDefault="004041F4" w:rsidP="00F61C4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  <w:r w:rsidR="00F61C45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  <w:tc>
          <w:tcPr>
            <w:tcW w:w="25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4041F4" w:rsidRPr="00B5156C" w:rsidRDefault="004041F4" w:rsidP="00F61C4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 w:rsidR="00F61C45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3. NÉ</w:t>
            </w:r>
          </w:p>
        </w:tc>
        <w:tc>
          <w:tcPr>
            <w:tcW w:w="2621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4041F4" w:rsidRPr="00B5156C" w:rsidRDefault="004041F4" w:rsidP="00F61C4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 w:rsidR="00F61C45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</w:tr>
      <w:tr w:rsidR="004041F4" w:rsidRPr="003A723F" w:rsidTr="00381775">
        <w:trPr>
          <w:trHeight w:val="362"/>
        </w:trPr>
        <w:tc>
          <w:tcPr>
            <w:tcW w:w="22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1F4" w:rsidRPr="00B5156C" w:rsidRDefault="00381775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26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041F4" w:rsidRPr="00B5156C" w:rsidRDefault="001346E3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1 </w:t>
            </w:r>
            <w:r w:rsidR="00F626CE">
              <w:rPr>
                <w:rFonts w:ascii="Arial" w:hAnsi="Arial" w:cs="Arial"/>
                <w:b/>
                <w:color w:val="000000" w:themeColor="text1"/>
              </w:rPr>
              <w:t>596,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25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1F4" w:rsidRPr="00B5156C" w:rsidRDefault="001346E3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 xml:space="preserve">1 </w:t>
            </w:r>
            <w:r w:rsidR="00F626CE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657,</w:t>
            </w:r>
            <w:r w:rsidR="004041F4"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621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041F4" w:rsidRPr="00B5156C" w:rsidRDefault="001346E3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 xml:space="preserve">1 </w:t>
            </w:r>
            <w:r w:rsidR="00F626CE">
              <w:rPr>
                <w:rFonts w:ascii="Arial" w:hAnsi="Arial" w:cs="Arial"/>
                <w:b/>
                <w:color w:val="000000" w:themeColor="text1"/>
              </w:rPr>
              <w:t>615,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4041F4" w:rsidRPr="003A723F" w:rsidTr="00381775">
        <w:trPr>
          <w:trHeight w:val="362"/>
        </w:trPr>
        <w:tc>
          <w:tcPr>
            <w:tcW w:w="2298" w:type="dxa"/>
            <w:tcBorders>
              <w:right w:val="double" w:sz="4" w:space="0" w:color="auto"/>
            </w:tcBorders>
            <w:vAlign w:val="center"/>
          </w:tcPr>
          <w:p w:rsidR="004041F4" w:rsidRPr="00B5156C" w:rsidRDefault="008F4428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</w:p>
        </w:tc>
        <w:tc>
          <w:tcPr>
            <w:tcW w:w="2641" w:type="dxa"/>
            <w:tcBorders>
              <w:right w:val="double" w:sz="4" w:space="0" w:color="auto"/>
            </w:tcBorders>
            <w:shd w:val="clear" w:color="auto" w:fill="auto"/>
          </w:tcPr>
          <w:p w:rsidR="004041F4" w:rsidRPr="00B5156C" w:rsidRDefault="00F626CE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239,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508" w:type="dxa"/>
            <w:tcBorders>
              <w:right w:val="double" w:sz="4" w:space="0" w:color="auto"/>
            </w:tcBorders>
            <w:vAlign w:val="center"/>
          </w:tcPr>
          <w:p w:rsidR="004041F4" w:rsidRPr="00B5156C" w:rsidRDefault="00F626CE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302,</w:t>
            </w:r>
            <w:r w:rsidR="004041F4"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2621" w:type="dxa"/>
            <w:tcBorders>
              <w:left w:val="double" w:sz="4" w:space="0" w:color="auto"/>
              <w:right w:val="nil"/>
            </w:tcBorders>
          </w:tcPr>
          <w:p w:rsidR="004041F4" w:rsidRPr="00B5156C" w:rsidRDefault="004041F4" w:rsidP="003817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</w:rPr>
              <w:t>2</w:t>
            </w:r>
            <w:r w:rsidRPr="00B5156C">
              <w:rPr>
                <w:rFonts w:ascii="Arial" w:hAnsi="Arial" w:cs="Arial"/>
                <w:b/>
                <w:color w:val="000000" w:themeColor="text1"/>
              </w:rPr>
              <w:t>39</w:t>
            </w:r>
            <w:r w:rsidR="00F626CE">
              <w:rPr>
                <w:rFonts w:ascii="Arial" w:hAnsi="Arial" w:cs="Arial" w:hint="eastAsia"/>
                <w:b/>
                <w:color w:val="000000" w:themeColor="text1"/>
              </w:rPr>
              <w:t>,</w:t>
            </w:r>
            <w:r w:rsidRPr="00B5156C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</w:tr>
    </w:tbl>
    <w:p w:rsidR="004041F4" w:rsidRPr="008759AC" w:rsidRDefault="004041F4" w:rsidP="008759AC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454"/>
        <w:gridCol w:w="2359"/>
        <w:gridCol w:w="2455"/>
      </w:tblGrid>
      <w:tr w:rsidR="00F61C45" w:rsidRPr="003A723F" w:rsidTr="008F4428">
        <w:trPr>
          <w:trHeight w:val="363"/>
        </w:trPr>
        <w:tc>
          <w:tcPr>
            <w:tcW w:w="21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237F39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Egység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Milliárd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USD)</w:t>
            </w:r>
          </w:p>
        </w:tc>
        <w:tc>
          <w:tcPr>
            <w:tcW w:w="24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  <w:tc>
          <w:tcPr>
            <w:tcW w:w="23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3. NÉ</w:t>
            </w:r>
          </w:p>
        </w:tc>
        <w:tc>
          <w:tcPr>
            <w:tcW w:w="2455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</w:tr>
      <w:tr w:rsidR="008F4428" w:rsidRPr="003A723F" w:rsidTr="008F4428">
        <w:trPr>
          <w:trHeight w:val="363"/>
        </w:trPr>
        <w:tc>
          <w:tcPr>
            <w:tcW w:w="21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428" w:rsidRPr="00B5156C" w:rsidRDefault="00F61C45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4428" w:rsidRPr="00B5156C" w:rsidRDefault="001D0166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1,</w:t>
            </w:r>
            <w:r w:rsidR="008F4428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379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428" w:rsidRPr="00B5156C" w:rsidRDefault="001D0166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1,478</w:t>
            </w:r>
          </w:p>
        </w:tc>
        <w:tc>
          <w:tcPr>
            <w:tcW w:w="24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4428" w:rsidRPr="00B5156C" w:rsidRDefault="001D0166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1,</w:t>
            </w:r>
            <w:r w:rsidR="008F4428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395</w:t>
            </w:r>
          </w:p>
        </w:tc>
      </w:tr>
      <w:tr w:rsidR="008F4428" w:rsidRPr="003A723F" w:rsidTr="008F4428">
        <w:trPr>
          <w:trHeight w:val="363"/>
        </w:trPr>
        <w:tc>
          <w:tcPr>
            <w:tcW w:w="21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F4428" w:rsidRPr="00B5156C" w:rsidRDefault="008F4428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  <w:r w:rsidR="00A05941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 xml:space="preserve"> (millió)</w:t>
            </w:r>
          </w:p>
        </w:tc>
        <w:tc>
          <w:tcPr>
            <w:tcW w:w="245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F4428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206,</w:t>
            </w:r>
            <w:r w:rsidR="008F4428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23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428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269,</w:t>
            </w:r>
            <w:r w:rsidR="008F4428"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45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4428" w:rsidRPr="00B5156C" w:rsidRDefault="008F4428" w:rsidP="00381775">
            <w:pPr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kern w:val="0"/>
                <w:szCs w:val="22"/>
              </w:rPr>
              <w:t>2</w:t>
            </w: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07</w:t>
            </w:r>
            <w:r w:rsidR="008726AA">
              <w:rPr>
                <w:rFonts w:ascii="Arial" w:hAnsi="Arial" w:cs="Arial" w:hint="eastAsia"/>
                <w:b/>
                <w:color w:val="000000" w:themeColor="text1"/>
                <w:kern w:val="0"/>
                <w:szCs w:val="22"/>
              </w:rPr>
              <w:t>,</w:t>
            </w:r>
            <w:r w:rsidRPr="00B5156C">
              <w:rPr>
                <w:rFonts w:ascii="Arial" w:hAnsi="Arial" w:cs="Arial" w:hint="eastAsia"/>
                <w:b/>
                <w:color w:val="000000" w:themeColor="text1"/>
                <w:kern w:val="0"/>
                <w:szCs w:val="22"/>
              </w:rPr>
              <w:t>1</w:t>
            </w:r>
          </w:p>
        </w:tc>
      </w:tr>
      <w:tr w:rsidR="004041F4" w:rsidRPr="003A723F" w:rsidTr="008F4428">
        <w:trPr>
          <w:trHeight w:val="363"/>
        </w:trPr>
        <w:tc>
          <w:tcPr>
            <w:tcW w:w="219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41F4" w:rsidRPr="003A723F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41F4" w:rsidRPr="003A723F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41F4" w:rsidRPr="008D569C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41F4" w:rsidRPr="003A723F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61C45" w:rsidRPr="003A723F" w:rsidTr="008F4428">
        <w:trPr>
          <w:trHeight w:val="363"/>
        </w:trPr>
        <w:tc>
          <w:tcPr>
            <w:tcW w:w="219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237F39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Egység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Milliárd</w:t>
            </w: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EUR)</w:t>
            </w:r>
          </w:p>
        </w:tc>
        <w:tc>
          <w:tcPr>
            <w:tcW w:w="2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  <w:tc>
          <w:tcPr>
            <w:tcW w:w="23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3. NÉ</w:t>
            </w:r>
          </w:p>
        </w:tc>
        <w:tc>
          <w:tcPr>
            <w:tcW w:w="245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</w:tr>
      <w:tr w:rsidR="008F4428" w:rsidRPr="003A723F" w:rsidTr="008F4428">
        <w:trPr>
          <w:trHeight w:val="363"/>
        </w:trPr>
        <w:tc>
          <w:tcPr>
            <w:tcW w:w="21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4428" w:rsidRPr="00B5156C" w:rsidRDefault="00F61C45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428" w:rsidRPr="00B5156C" w:rsidRDefault="00541584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1,259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428" w:rsidRPr="00B5156C" w:rsidRDefault="00541584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1,324</w:t>
            </w:r>
          </w:p>
        </w:tc>
        <w:tc>
          <w:tcPr>
            <w:tcW w:w="2455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 w:themeFill="background1"/>
          </w:tcPr>
          <w:p w:rsidR="008F4428" w:rsidRPr="00B5156C" w:rsidRDefault="00541584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1,295</w:t>
            </w:r>
          </w:p>
        </w:tc>
      </w:tr>
      <w:tr w:rsidR="008F4428" w:rsidRPr="003A723F" w:rsidTr="008F4428">
        <w:trPr>
          <w:trHeight w:val="363"/>
        </w:trPr>
        <w:tc>
          <w:tcPr>
            <w:tcW w:w="2195" w:type="dxa"/>
            <w:tcBorders>
              <w:right w:val="double" w:sz="4" w:space="0" w:color="auto"/>
            </w:tcBorders>
            <w:vAlign w:val="center"/>
          </w:tcPr>
          <w:p w:rsidR="008F4428" w:rsidRPr="00B5156C" w:rsidRDefault="008F4428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  <w:r w:rsidR="00A05941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 xml:space="preserve"> (millió)</w:t>
            </w:r>
          </w:p>
        </w:tc>
        <w:tc>
          <w:tcPr>
            <w:tcW w:w="245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F4428" w:rsidRPr="00B5156C" w:rsidRDefault="008F4428" w:rsidP="00237F39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188</w:t>
            </w:r>
            <w:r w:rsidR="00237F39">
              <w:rPr>
                <w:rFonts w:ascii="Arial" w:hAnsi="Arial" w:cs="Arial"/>
                <w:b/>
                <w:color w:val="000000" w:themeColor="text1"/>
                <w:szCs w:val="22"/>
              </w:rPr>
              <w:t>,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23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4428" w:rsidRPr="00B5156C" w:rsidRDefault="008F4428" w:rsidP="00237F39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241</w:t>
            </w:r>
            <w:r w:rsidR="00237F39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,</w:t>
            </w:r>
            <w:r w:rsidRPr="00B5156C">
              <w:rPr>
                <w:rFonts w:ascii="Arial" w:eastAsia="Malgun Gothic" w:hAnsi="Arial" w:cs="Arial"/>
                <w:b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455" w:type="dxa"/>
            <w:tcBorders>
              <w:left w:val="double" w:sz="4" w:space="0" w:color="auto"/>
              <w:right w:val="nil"/>
            </w:tcBorders>
            <w:shd w:val="clear" w:color="auto" w:fill="FFFFFF" w:themeFill="background1"/>
          </w:tcPr>
          <w:p w:rsidR="008F4428" w:rsidRPr="00B5156C" w:rsidRDefault="008F4428" w:rsidP="00237F39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192</w:t>
            </w:r>
            <w:r w:rsidR="00237F39">
              <w:rPr>
                <w:rFonts w:ascii="Arial" w:hAnsi="Arial" w:cs="Arial"/>
                <w:b/>
                <w:color w:val="000000" w:themeColor="text1"/>
                <w:szCs w:val="22"/>
              </w:rPr>
              <w:t>,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</w:tr>
    </w:tbl>
    <w:p w:rsidR="004041F4" w:rsidRPr="008759AC" w:rsidRDefault="004041F4" w:rsidP="008759AC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</w:p>
    <w:p w:rsidR="004041F4" w:rsidRPr="00950A55" w:rsidRDefault="00582DDB" w:rsidP="004041F4">
      <w:pPr>
        <w:wordWrap/>
        <w:snapToGrid w:val="0"/>
        <w:spacing w:line="276" w:lineRule="auto"/>
        <w:ind w:leftChars="71" w:left="142" w:rightChars="56" w:right="112"/>
        <w:rPr>
          <w:rFonts w:ascii="Arial" w:hAnsi="Arial" w:cs="Arial"/>
          <w:b/>
          <w:i/>
          <w:color w:val="000000" w:themeColor="text1"/>
          <w:kern w:val="0"/>
          <w:szCs w:val="20"/>
        </w:rPr>
      </w:pPr>
      <w:r>
        <w:rPr>
          <w:rFonts w:ascii="Arial" w:hAnsi="Arial" w:cs="Arial"/>
          <w:b/>
          <w:i/>
          <w:color w:val="000000" w:themeColor="text1"/>
          <w:kern w:val="0"/>
          <w:szCs w:val="20"/>
        </w:rPr>
        <w:t>*Árfolyam</w:t>
      </w:r>
      <w:r w:rsidR="004041F4" w:rsidRPr="00950A55">
        <w:rPr>
          <w:rFonts w:ascii="Arial" w:hAnsi="Arial" w:cs="Arial"/>
          <w:b/>
          <w:i/>
          <w:color w:val="000000" w:themeColor="text1"/>
          <w:kern w:val="0"/>
          <w:szCs w:val="20"/>
        </w:rPr>
        <w:t>:</w:t>
      </w:r>
    </w:p>
    <w:tbl>
      <w:tblPr>
        <w:tblStyle w:val="Tabellenraster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2617"/>
        <w:gridCol w:w="2275"/>
        <w:gridCol w:w="2493"/>
      </w:tblGrid>
      <w:tr w:rsidR="00F61C45" w:rsidRPr="003A723F" w:rsidTr="00F61C45">
        <w:trPr>
          <w:trHeight w:val="363"/>
        </w:trPr>
        <w:tc>
          <w:tcPr>
            <w:tcW w:w="20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</w:p>
        </w:tc>
        <w:tc>
          <w:tcPr>
            <w:tcW w:w="2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  <w:tc>
          <w:tcPr>
            <w:tcW w:w="22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3. NÉ</w:t>
            </w:r>
          </w:p>
        </w:tc>
        <w:tc>
          <w:tcPr>
            <w:tcW w:w="249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F61C45" w:rsidRPr="00B5156C" w:rsidRDefault="00F61C45" w:rsidP="00A84D0A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>201</w:t>
            </w:r>
            <w:r w:rsidRPr="00B5156C">
              <w:rPr>
                <w:rFonts w:ascii="Arial" w:hAnsi="Arial" w:cs="Arial" w:hint="eastAsia"/>
                <w:b/>
                <w:color w:val="FFFFFF" w:themeColor="background1"/>
                <w:kern w:val="0"/>
                <w:szCs w:val="22"/>
              </w:rPr>
              <w:t>6</w:t>
            </w:r>
            <w:r>
              <w:rPr>
                <w:rFonts w:ascii="Arial" w:hAnsi="Arial" w:cs="Arial"/>
                <w:b/>
                <w:color w:val="FFFFFF" w:themeColor="background1"/>
                <w:kern w:val="0"/>
                <w:szCs w:val="22"/>
              </w:rPr>
              <w:t xml:space="preserve"> 4. NÉ</w:t>
            </w:r>
          </w:p>
        </w:tc>
      </w:tr>
      <w:tr w:rsidR="004041F4" w:rsidRPr="003A723F" w:rsidTr="00F61C45">
        <w:trPr>
          <w:trHeight w:val="363"/>
        </w:trPr>
        <w:tc>
          <w:tcPr>
            <w:tcW w:w="20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041F4" w:rsidRPr="00B5156C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USD / KRW</w:t>
            </w: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41F4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1 157,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69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41F4" w:rsidRPr="00B5156C" w:rsidRDefault="004041F4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</w:t>
            </w:r>
            <w:r w:rsidR="008726A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121,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37</w:t>
            </w:r>
          </w:p>
        </w:tc>
        <w:tc>
          <w:tcPr>
            <w:tcW w:w="249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4041F4" w:rsidRPr="00B5156C" w:rsidRDefault="004041F4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B5156C">
              <w:rPr>
                <w:rFonts w:ascii="Arial" w:hAnsi="Arial" w:cs="Arial" w:hint="eastAsia"/>
                <w:b/>
                <w:color w:val="000000" w:themeColor="text1"/>
                <w:szCs w:val="22"/>
              </w:rPr>
              <w:t>1</w:t>
            </w:r>
            <w:r w:rsidR="008726AA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157,</w:t>
            </w:r>
            <w:r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37</w:t>
            </w:r>
          </w:p>
        </w:tc>
      </w:tr>
      <w:tr w:rsidR="004041F4" w:rsidRPr="003A723F" w:rsidTr="00F61C45">
        <w:trPr>
          <w:trHeight w:val="363"/>
        </w:trPr>
        <w:tc>
          <w:tcPr>
            <w:tcW w:w="2078" w:type="dxa"/>
            <w:tcBorders>
              <w:right w:val="double" w:sz="4" w:space="0" w:color="auto"/>
            </w:tcBorders>
            <w:vAlign w:val="center"/>
          </w:tcPr>
          <w:p w:rsidR="004041F4" w:rsidRPr="00B5156C" w:rsidRDefault="004041F4" w:rsidP="00381775">
            <w:pPr>
              <w:wordWrap/>
              <w:snapToGrid w:val="0"/>
              <w:ind w:rightChars="56" w:right="112"/>
              <w:jc w:val="center"/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</w:pPr>
            <w:r w:rsidRPr="00B5156C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EUR / KRW</w:t>
            </w:r>
          </w:p>
        </w:tc>
        <w:tc>
          <w:tcPr>
            <w:tcW w:w="2617" w:type="dxa"/>
            <w:tcBorders>
              <w:left w:val="double" w:sz="4" w:space="0" w:color="auto"/>
              <w:right w:val="double" w:sz="4" w:space="0" w:color="auto"/>
            </w:tcBorders>
          </w:tcPr>
          <w:p w:rsidR="004041F4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1 267,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57</w:t>
            </w: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</w:tcPr>
          <w:p w:rsidR="004041F4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1 251,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04</w:t>
            </w:r>
          </w:p>
        </w:tc>
        <w:tc>
          <w:tcPr>
            <w:tcW w:w="2493" w:type="dxa"/>
            <w:tcBorders>
              <w:left w:val="double" w:sz="4" w:space="0" w:color="auto"/>
              <w:right w:val="nil"/>
            </w:tcBorders>
          </w:tcPr>
          <w:p w:rsidR="004041F4" w:rsidRPr="00B5156C" w:rsidRDefault="008726AA" w:rsidP="0038177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1 247,</w:t>
            </w:r>
            <w:r w:rsidR="004041F4" w:rsidRPr="00B5156C">
              <w:rPr>
                <w:rFonts w:ascii="Arial" w:hAnsi="Arial" w:cs="Arial"/>
                <w:b/>
                <w:color w:val="000000" w:themeColor="text1"/>
                <w:szCs w:val="22"/>
              </w:rPr>
              <w:t>02</w:t>
            </w:r>
          </w:p>
        </w:tc>
      </w:tr>
    </w:tbl>
    <w:p w:rsidR="004041F4" w:rsidRPr="008759AC" w:rsidRDefault="004041F4" w:rsidP="008759AC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</w:p>
    <w:p w:rsidR="004041F4" w:rsidRPr="005A3D7C" w:rsidRDefault="005A3D7C" w:rsidP="005A3D7C">
      <w:pPr>
        <w:wordWrap/>
        <w:snapToGrid w:val="0"/>
        <w:spacing w:line="276" w:lineRule="auto"/>
        <w:ind w:rightChars="56" w:right="112" w:firstLineChars="50" w:firstLine="120"/>
        <w:rPr>
          <w:rFonts w:ascii="Arial" w:hAnsi="Arial" w:cs="Arial"/>
          <w:b/>
          <w:kern w:val="0"/>
          <w:sz w:val="24"/>
        </w:rPr>
      </w:pPr>
      <w:r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  <w:t>201</w:t>
      </w:r>
      <w:r>
        <w:rPr>
          <w:rFonts w:ascii="Arial" w:hAnsi="Arial" w:cs="Arial"/>
          <w:b/>
          <w:kern w:val="0"/>
          <w:sz w:val="24"/>
        </w:rPr>
        <w:t>6-os konszolidált eredmény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090"/>
        <w:gridCol w:w="3090"/>
      </w:tblGrid>
      <w:tr w:rsidR="004041F4" w:rsidRPr="002B32A6" w:rsidTr="00381775">
        <w:trPr>
          <w:trHeight w:val="362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4041F4" w:rsidP="00237F39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(</w:t>
            </w:r>
            <w:r w:rsidR="00237F39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Egység</w:t>
            </w: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 xml:space="preserve">: </w:t>
            </w:r>
            <w:r w:rsidR="00A05941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Milliárd</w:t>
            </w: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 xml:space="preserve"> KRW)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2015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2016</w:t>
            </w:r>
          </w:p>
        </w:tc>
      </w:tr>
      <w:tr w:rsidR="008726AA" w:rsidRPr="002B32A6" w:rsidTr="00381775">
        <w:trPr>
          <w:trHeight w:val="362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F61C45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AF4514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6 428,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26AA" w:rsidRPr="00B5156C" w:rsidRDefault="00AF4514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6 626,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</w:t>
            </w:r>
          </w:p>
        </w:tc>
      </w:tr>
      <w:tr w:rsidR="008726AA" w:rsidRPr="002B32A6" w:rsidTr="00381775">
        <w:trPr>
          <w:trHeight w:val="362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8726AA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AF4514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885,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26AA" w:rsidRPr="00B5156C" w:rsidRDefault="00AF4514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1 103,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8</w:t>
            </w:r>
          </w:p>
        </w:tc>
      </w:tr>
    </w:tbl>
    <w:p w:rsidR="004041F4" w:rsidRPr="008759AC" w:rsidRDefault="004041F4" w:rsidP="008759AC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:rsidTr="00381775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237F39" w:rsidRDefault="004041F4" w:rsidP="00237F39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20"/>
              </w:rPr>
            </w:pPr>
            <w:r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>(</w:t>
            </w:r>
            <w:r w:rsidR="00237F39"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>Egység</w:t>
            </w:r>
            <w:r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 xml:space="preserve">: </w:t>
            </w:r>
            <w:r w:rsidR="00541584"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>Milliárd</w:t>
            </w:r>
            <w:r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 xml:space="preserve"> USD)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237F39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20"/>
              </w:rPr>
            </w:pPr>
            <w:r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>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:rsidR="004041F4" w:rsidRPr="00237F39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20"/>
              </w:rPr>
            </w:pPr>
            <w:r w:rsidRPr="00237F39">
              <w:rPr>
                <w:rFonts w:ascii="Arial" w:eastAsia="Malgun Gothic" w:hAnsi="Arial" w:cs="Arial"/>
                <w:b/>
                <w:bCs/>
                <w:color w:val="FFFFFF"/>
                <w:kern w:val="0"/>
                <w:szCs w:val="20"/>
              </w:rPr>
              <w:t>2016</w:t>
            </w:r>
          </w:p>
        </w:tc>
      </w:tr>
      <w:tr w:rsidR="008726AA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F61C45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8726AA" w:rsidRPr="00B5156C" w:rsidRDefault="00541584" w:rsidP="00381775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5,681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726AA" w:rsidRPr="00B5156C" w:rsidRDefault="00541584" w:rsidP="00381775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5,709</w:t>
            </w:r>
          </w:p>
        </w:tc>
      </w:tr>
      <w:tr w:rsidR="008726AA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8726AA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Malgun Gothic" w:hAnsi="Arial" w:cs="Arial"/>
                <w:color w:val="222222"/>
                <w:kern w:val="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  <w:r w:rsidR="00A05941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 xml:space="preserve"> (millió)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hideMark/>
          </w:tcPr>
          <w:p w:rsidR="008726AA" w:rsidRPr="00B5156C" w:rsidRDefault="00237F39" w:rsidP="00381775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782,</w:t>
            </w:r>
            <w:r w:rsidR="008726AA"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8726AA" w:rsidRPr="00B5156C" w:rsidRDefault="00A05941" w:rsidP="00381775">
            <w:pPr>
              <w:widowControl/>
              <w:wordWrap/>
              <w:autoSpaceDE/>
              <w:autoSpaceDN/>
              <w:jc w:val="center"/>
              <w:rPr>
                <w:rFonts w:ascii="Arial" w:eastAsia="Malgun Gothic" w:hAnsi="Arial" w:cs="Arial"/>
                <w:color w:val="000000" w:themeColor="text1"/>
                <w:kern w:val="0"/>
                <w:szCs w:val="18"/>
              </w:rPr>
            </w:pPr>
            <w:r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951,</w:t>
            </w:r>
            <w:r w:rsidR="008726AA" w:rsidRPr="00B5156C">
              <w:rPr>
                <w:rFonts w:ascii="Arial" w:eastAsia="Malgun Gothic" w:hAnsi="Arial" w:cs="Arial"/>
                <w:b/>
                <w:bCs/>
                <w:color w:val="000000" w:themeColor="text1"/>
                <w:kern w:val="0"/>
                <w:szCs w:val="22"/>
              </w:rPr>
              <w:t>1</w:t>
            </w:r>
          </w:p>
        </w:tc>
      </w:tr>
    </w:tbl>
    <w:p w:rsidR="004041F4" w:rsidRPr="002B32A6" w:rsidRDefault="004041F4" w:rsidP="004041F4">
      <w:pPr>
        <w:widowControl/>
        <w:wordWrap/>
        <w:autoSpaceDE/>
        <w:autoSpaceDN/>
        <w:spacing w:line="207" w:lineRule="atLeast"/>
        <w:ind w:left="142" w:right="112"/>
        <w:jc w:val="left"/>
        <w:rPr>
          <w:rFonts w:ascii="Malgun Gothic" w:eastAsia="Malgun Gothic" w:hAnsi="Malgun Gothic" w:cs="Gulim"/>
          <w:color w:val="500050"/>
          <w:kern w:val="0"/>
          <w:sz w:val="18"/>
          <w:szCs w:val="18"/>
          <w:shd w:val="clear" w:color="auto" w:fill="FFFFFF"/>
        </w:rPr>
      </w:pP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:rsidTr="00381775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8726AA" w:rsidP="00237F39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(</w:t>
            </w:r>
            <w:r w:rsidR="00237F39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Egység</w:t>
            </w:r>
            <w:r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 xml:space="preserve">: </w:t>
            </w:r>
            <w:r w:rsidR="00541584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Milliárd</w:t>
            </w:r>
            <w:r w:rsidR="004041F4"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 xml:space="preserve"> EUR)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2016</w:t>
            </w:r>
          </w:p>
        </w:tc>
      </w:tr>
      <w:tr w:rsidR="008726AA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F61C45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Árbevétel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541584" w:rsidP="00381775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5,121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26AA" w:rsidRPr="00B5156C" w:rsidRDefault="00541584" w:rsidP="00381775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5,163</w:t>
            </w:r>
          </w:p>
        </w:tc>
      </w:tr>
      <w:tr w:rsidR="008726AA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8726AA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>Üzemi nyereség</w:t>
            </w:r>
            <w:r w:rsidR="00A05941">
              <w:rPr>
                <w:rFonts w:ascii="Arial" w:hAnsi="Arial" w:cs="Arial"/>
                <w:b/>
                <w:color w:val="000000" w:themeColor="text1"/>
                <w:kern w:val="0"/>
                <w:szCs w:val="22"/>
              </w:rPr>
              <w:t xml:space="preserve"> (millió)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26AA" w:rsidRPr="00B5156C" w:rsidRDefault="00A05941" w:rsidP="00381775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705,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726AA" w:rsidRPr="00B5156C" w:rsidRDefault="00A05941" w:rsidP="00381775">
            <w:pPr>
              <w:widowControl/>
              <w:wordWrap/>
              <w:autoSpaceDE/>
              <w:autoSpaceDN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860,</w:t>
            </w:r>
            <w:r w:rsidR="008726AA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</w:t>
            </w:r>
          </w:p>
        </w:tc>
      </w:tr>
    </w:tbl>
    <w:p w:rsidR="004041F4" w:rsidRPr="00147F02" w:rsidRDefault="00147F02" w:rsidP="00147F02">
      <w:pPr>
        <w:wordWrap/>
        <w:snapToGrid w:val="0"/>
        <w:spacing w:line="276" w:lineRule="auto"/>
        <w:ind w:rightChars="56" w:right="112" w:firstLineChars="50" w:firstLine="100"/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</w:pPr>
      <w:r w:rsidRPr="00147F02">
        <w:rPr>
          <w:rFonts w:ascii="Gulim" w:eastAsia="Gulim" w:hAnsi="Gulim" w:cs="Gulim"/>
          <w:kern w:val="0"/>
        </w:rPr>
        <w:br/>
      </w:r>
      <w:r w:rsidR="00582DDB" w:rsidRPr="00147F02"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  <w:t>*Árfolyam</w:t>
      </w:r>
      <w:r w:rsidR="004041F4" w:rsidRPr="00147F02">
        <w:rPr>
          <w:rFonts w:ascii="Arial" w:eastAsia="Malgun Gothic" w:hAnsi="Arial" w:cs="Arial"/>
          <w:b/>
          <w:bCs/>
          <w:color w:val="000000" w:themeColor="text1"/>
          <w:kern w:val="0"/>
          <w:sz w:val="24"/>
          <w:shd w:val="clear" w:color="auto" w:fill="FFFFFF" w:themeFill="background1"/>
        </w:rPr>
        <w:t>: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120"/>
        <w:gridCol w:w="3120"/>
      </w:tblGrid>
      <w:tr w:rsidR="004041F4" w:rsidRPr="002B32A6" w:rsidTr="00381775">
        <w:trPr>
          <w:trHeight w:val="363"/>
        </w:trPr>
        <w:tc>
          <w:tcPr>
            <w:tcW w:w="255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2015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7F7F7F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color w:val="FFFFFF"/>
                <w:kern w:val="0"/>
                <w:szCs w:val="22"/>
              </w:rPr>
              <w:t>2016</w:t>
            </w:r>
          </w:p>
        </w:tc>
      </w:tr>
      <w:tr w:rsidR="004041F4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USD / KRW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41F4" w:rsidRPr="00B5156C" w:rsidRDefault="00AE51AE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 xml:space="preserve">1 </w:t>
            </w:r>
            <w:r w:rsidR="004041F4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</w:t>
            </w: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31,</w:t>
            </w:r>
            <w:r w:rsidR="004041F4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41F4" w:rsidRPr="00B5156C" w:rsidRDefault="00AE51AE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1 160,</w:t>
            </w:r>
            <w:r w:rsidR="004041F4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50</w:t>
            </w:r>
          </w:p>
        </w:tc>
      </w:tr>
      <w:tr w:rsidR="004041F4" w:rsidRPr="002B32A6" w:rsidTr="00381775">
        <w:trPr>
          <w:trHeight w:val="363"/>
        </w:trPr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41F4" w:rsidRPr="00B5156C" w:rsidRDefault="004041F4" w:rsidP="00381775">
            <w:pPr>
              <w:widowControl/>
              <w:wordWrap/>
              <w:autoSpaceDE/>
              <w:autoSpaceDN/>
              <w:ind w:right="112"/>
              <w:jc w:val="center"/>
              <w:rPr>
                <w:rFonts w:ascii="Arial" w:eastAsia="Gulim" w:hAnsi="Arial" w:cs="Arial"/>
                <w:kern w:val="0"/>
              </w:rPr>
            </w:pPr>
            <w:r w:rsidRPr="00B5156C">
              <w:rPr>
                <w:rFonts w:ascii="Arial" w:eastAsia="Gulim" w:hAnsi="Arial" w:cs="Arial"/>
                <w:b/>
                <w:bCs/>
                <w:kern w:val="0"/>
                <w:szCs w:val="22"/>
              </w:rPr>
              <w:t>EUR / KRW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041F4" w:rsidRPr="00B5156C" w:rsidRDefault="00AE51AE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1 255,</w:t>
            </w:r>
            <w:r w:rsidR="004041F4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41F4" w:rsidRPr="00B5156C" w:rsidRDefault="00AE51AE" w:rsidP="00381775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Gulim" w:hAnsi="Arial" w:cs="Arial"/>
                <w:color w:val="000000" w:themeColor="text1"/>
                <w:kern w:val="0"/>
              </w:rPr>
            </w:pPr>
            <w:r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1 283,</w:t>
            </w:r>
            <w:r w:rsidR="004041F4" w:rsidRPr="00B5156C">
              <w:rPr>
                <w:rFonts w:ascii="Arial" w:eastAsia="Gulim" w:hAnsi="Arial" w:cs="Arial"/>
                <w:b/>
                <w:bCs/>
                <w:color w:val="000000" w:themeColor="text1"/>
                <w:kern w:val="0"/>
                <w:szCs w:val="22"/>
              </w:rPr>
              <w:t>30</w:t>
            </w:r>
          </w:p>
        </w:tc>
      </w:tr>
    </w:tbl>
    <w:p w:rsidR="00200EAE" w:rsidRDefault="00582DDB" w:rsidP="00950A55">
      <w:pPr>
        <w:wordWrap/>
        <w:ind w:firstLineChars="50" w:firstLine="9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(Megjegyzés</w:t>
      </w:r>
      <w:r w:rsidR="00950A55" w:rsidRPr="005344C3">
        <w:rPr>
          <w:rFonts w:ascii="Arial" w:hAnsi="Arial" w:cs="Arial"/>
          <w:i/>
          <w:iCs/>
          <w:sz w:val="18"/>
          <w:szCs w:val="18"/>
        </w:rPr>
        <w:t xml:space="preserve">: </w:t>
      </w:r>
      <w:r>
        <w:rPr>
          <w:rFonts w:ascii="Arial" w:hAnsi="Arial" w:cs="Arial"/>
          <w:i/>
          <w:iCs/>
          <w:sz w:val="18"/>
          <w:szCs w:val="18"/>
        </w:rPr>
        <w:t>Árfolyam kalkuláció a K</w:t>
      </w:r>
      <w:r w:rsidR="00950A55" w:rsidRPr="005344C3">
        <w:rPr>
          <w:rFonts w:ascii="Arial" w:hAnsi="Arial" w:cs="Arial"/>
          <w:i/>
          <w:iCs/>
          <w:sz w:val="18"/>
          <w:szCs w:val="18"/>
        </w:rPr>
        <w:t>orea Exchange Bank</w:t>
      </w:r>
      <w:r>
        <w:rPr>
          <w:rFonts w:ascii="Arial" w:hAnsi="Arial" w:cs="Arial"/>
          <w:i/>
          <w:iCs/>
          <w:sz w:val="18"/>
          <w:szCs w:val="18"/>
        </w:rPr>
        <w:t xml:space="preserve"> vonatkozó adatai szerint</w:t>
      </w:r>
      <w:r w:rsidR="00950A55" w:rsidRPr="005344C3">
        <w:rPr>
          <w:rFonts w:ascii="Arial" w:hAnsi="Arial" w:cs="Arial"/>
          <w:i/>
          <w:iCs/>
          <w:sz w:val="18"/>
          <w:szCs w:val="18"/>
        </w:rPr>
        <w:t>)</w:t>
      </w:r>
    </w:p>
    <w:p w:rsidR="00237F39" w:rsidRPr="00687D8F" w:rsidRDefault="00237F39" w:rsidP="00237F39">
      <w:pPr>
        <w:kinsoku w:val="0"/>
        <w:wordWrap/>
        <w:overflowPunct w:val="0"/>
        <w:rPr>
          <w:rFonts w:ascii="Times New Roman" w:eastAsia="Malgun Gothic"/>
          <w:b/>
          <w:kern w:val="0"/>
          <w:sz w:val="21"/>
          <w:szCs w:val="21"/>
        </w:rPr>
      </w:pPr>
      <w:r w:rsidRPr="00687D8F">
        <w:rPr>
          <w:rFonts w:ascii="Times New Roman" w:eastAsia="Malgun Gothic"/>
          <w:b/>
          <w:kern w:val="0"/>
          <w:sz w:val="21"/>
          <w:szCs w:val="21"/>
        </w:rPr>
        <w:t>A Hankook Tire vállalatról</w:t>
      </w:r>
    </w:p>
    <w:p w:rsidR="00237F39" w:rsidRPr="00687D8F" w:rsidRDefault="00237F39" w:rsidP="00237F39">
      <w:pPr>
        <w:widowControl/>
        <w:suppressAutoHyphens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</w:p>
    <w:p w:rsidR="00237F39" w:rsidRPr="00687D8F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  <w:r w:rsidRPr="00687D8F">
        <w:rPr>
          <w:rFonts w:ascii="Times New Roman"/>
          <w:sz w:val="21"/>
          <w:szCs w:val="21"/>
        </w:rPr>
        <w:t xml:space="preserve">A Hankook </w:t>
      </w:r>
      <w:r w:rsidRPr="00687D8F">
        <w:rPr>
          <w:rFonts w:ascii="Times New Roman"/>
          <w:sz w:val="21"/>
          <w:szCs w:val="21"/>
          <w:lang w:eastAsia="de-DE"/>
        </w:rPr>
        <w:t>Tire egyike az öt, a világon a legtöbb abroncsot gyártó globális vállalatnak. Innovatív, díjnyertes, kiváló minőségű radiál</w:t>
      </w:r>
      <w:r w:rsidRPr="00687D8F">
        <w:rPr>
          <w:rFonts w:ascii="Times New Roman"/>
          <w:sz w:val="21"/>
          <w:szCs w:val="21"/>
        </w:rPr>
        <w:t xml:space="preserve"> abroncsokat gyárt személygépkocsik, terepjárók, SUV-ok, könnyű tehergépkocsik, teherautók és buszok valamint az autósport számára (mind a pályás versenyeken, mind pedig ralin résztvevő csapatoknak).</w:t>
      </w:r>
    </w:p>
    <w:p w:rsidR="00237F39" w:rsidRPr="00687D8F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  <w:r w:rsidRPr="00687D8F">
        <w:rPr>
          <w:rFonts w:ascii="Times New Roman"/>
          <w:sz w:val="21"/>
          <w:szCs w:val="21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237F39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  <w:r w:rsidRPr="00687D8F">
        <w:rPr>
          <w:rFonts w:ascii="Times New Roman"/>
          <w:sz w:val="21"/>
          <w:szCs w:val="21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237F39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</w:p>
    <w:p w:rsidR="00237F39" w:rsidRPr="00687D8F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  <w:r w:rsidRPr="00687D8F">
        <w:rPr>
          <w:rFonts w:ascii="Times New Roman"/>
          <w:sz w:val="21"/>
          <w:szCs w:val="21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237F39" w:rsidRPr="00687D8F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  <w:r w:rsidRPr="00687D8F">
        <w:rPr>
          <w:rFonts w:ascii="Times New Roman"/>
          <w:sz w:val="21"/>
          <w:szCs w:val="21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237F39" w:rsidRPr="00C04FB2" w:rsidRDefault="00237F39" w:rsidP="00237F39">
      <w:pPr>
        <w:widowControl/>
        <w:kinsoku w:val="0"/>
        <w:wordWrap/>
        <w:overflowPunct w:val="0"/>
        <w:autoSpaceDE/>
        <w:autoSpaceDN/>
        <w:rPr>
          <w:rFonts w:ascii="Times New Roman"/>
          <w:sz w:val="21"/>
          <w:szCs w:val="21"/>
        </w:rPr>
      </w:pPr>
    </w:p>
    <w:p w:rsidR="00237F39" w:rsidRPr="00C04FB2" w:rsidRDefault="00237F39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  <w:r w:rsidRPr="00C04FB2">
        <w:rPr>
          <w:rFonts w:ascii="Times New Roman" w:eastAsia="Malgun Gothic"/>
          <w:bCs/>
          <w:iCs/>
          <w:sz w:val="21"/>
          <w:szCs w:val="21"/>
        </w:rPr>
        <w:t xml:space="preserve">További információ: </w:t>
      </w:r>
      <w:hyperlink r:id="rId8" w:history="1">
        <w:r w:rsidRPr="00C04FB2">
          <w:rPr>
            <w:rStyle w:val="Hyperlink"/>
            <w:rFonts w:ascii="Times New Roman" w:eastAsia="Malgun Gothic"/>
            <w:bCs/>
            <w:iCs/>
            <w:sz w:val="21"/>
            <w:szCs w:val="21"/>
          </w:rPr>
          <w:t>www.hankooktire-press.com</w:t>
        </w:r>
      </w:hyperlink>
      <w:r w:rsidRPr="00C04FB2">
        <w:rPr>
          <w:rFonts w:ascii="Times New Roman" w:eastAsia="Malgun Gothic"/>
          <w:bCs/>
          <w:iCs/>
          <w:sz w:val="21"/>
          <w:szCs w:val="21"/>
        </w:rPr>
        <w:t xml:space="preserve"> és </w:t>
      </w:r>
      <w:hyperlink r:id="rId9" w:history="1">
        <w:r w:rsidRPr="007242AF">
          <w:rPr>
            <w:rStyle w:val="Hyperlink"/>
            <w:rFonts w:ascii="Times New Roman" w:eastAsia="Malgun Gothic"/>
            <w:bCs/>
            <w:iCs/>
            <w:sz w:val="21"/>
            <w:szCs w:val="21"/>
          </w:rPr>
          <w:t>www.hankooktire.com</w:t>
        </w:r>
      </w:hyperlink>
      <w:r>
        <w:rPr>
          <w:rStyle w:val="Hyperlink"/>
          <w:rFonts w:ascii="Times New Roman" w:eastAsia="Malgun Gothic"/>
          <w:bCs/>
          <w:iCs/>
          <w:sz w:val="21"/>
          <w:szCs w:val="21"/>
        </w:rPr>
        <w:t>/hu</w:t>
      </w:r>
    </w:p>
    <w:p w:rsidR="00237F39" w:rsidRDefault="00237F39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</w:p>
    <w:p w:rsidR="00147F02" w:rsidRPr="00687D8F" w:rsidRDefault="00147F02" w:rsidP="00237F39">
      <w:pPr>
        <w:snapToGrid w:val="0"/>
        <w:rPr>
          <w:rFonts w:ascii="Times New Roman" w:eastAsia="Malgun Gothic"/>
          <w:bCs/>
          <w:iCs/>
          <w:sz w:val="21"/>
          <w:szCs w:val="21"/>
        </w:rPr>
      </w:pPr>
      <w:bookmarkStart w:id="0" w:name="_GoBack"/>
      <w:bookmarkEnd w:id="0"/>
    </w:p>
    <w:p w:rsidR="00237F39" w:rsidRDefault="00237F39" w:rsidP="00F61C45">
      <w:pPr>
        <w:spacing w:after="240"/>
        <w:rPr>
          <w:rFonts w:ascii="Times New Roman"/>
          <w:b/>
          <w:bCs/>
        </w:rPr>
      </w:pPr>
      <w:r w:rsidRPr="00687D8F">
        <w:rPr>
          <w:rFonts w:ascii="Times New Roman"/>
          <w:b/>
          <w:bCs/>
        </w:rPr>
        <w:t>Kapcsolat:</w:t>
      </w: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237F39" w:rsidRPr="002E6E69" w:rsidTr="00381775">
        <w:tc>
          <w:tcPr>
            <w:tcW w:w="9437" w:type="dxa"/>
            <w:gridSpan w:val="3"/>
            <w:shd w:val="clear" w:color="auto" w:fill="F2F2F2"/>
          </w:tcPr>
          <w:p w:rsidR="00237F39" w:rsidRPr="00687D8F" w:rsidRDefault="00237F39" w:rsidP="00381775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687D8F">
              <w:rPr>
                <w:rFonts w:ascii="Times New Roman"/>
                <w:b/>
                <w:bCs/>
                <w:sz w:val="16"/>
                <w:szCs w:val="16"/>
              </w:rPr>
              <w:t xml:space="preserve">Hankook Tire Magyarország Kft. | </w:t>
            </w:r>
            <w:r w:rsidRPr="00687D8F">
              <w:rPr>
                <w:rFonts w:ascii="Times New Roman"/>
                <w:bCs/>
                <w:sz w:val="16"/>
                <w:szCs w:val="16"/>
              </w:rPr>
              <w:t>Kommunikációs Osztály</w:t>
            </w:r>
            <w:r w:rsidRPr="00687D8F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687D8F">
              <w:rPr>
                <w:rFonts w:ascii="Times New Roman"/>
                <w:sz w:val="16"/>
                <w:szCs w:val="16"/>
              </w:rPr>
              <w:t>2459 Rácalmás, Hankook tér 1.</w:t>
            </w:r>
          </w:p>
          <w:p w:rsidR="00237F39" w:rsidRPr="00687D8F" w:rsidRDefault="00237F39" w:rsidP="00381775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</w:p>
        </w:tc>
      </w:tr>
      <w:tr w:rsidR="00237F39" w:rsidRPr="00687D8F" w:rsidTr="00381775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687D8F">
              <w:rPr>
                <w:rFonts w:ascii="Times New Roman"/>
                <w:b/>
                <w:sz w:val="16"/>
                <w:szCs w:val="16"/>
              </w:rPr>
              <w:t>Roy Katalin</w:t>
            </w:r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687D8F">
              <w:rPr>
                <w:rFonts w:ascii="Times New Roman"/>
                <w:sz w:val="16"/>
                <w:szCs w:val="16"/>
              </w:rPr>
              <w:t>kommunikációs vezető</w:t>
            </w:r>
          </w:p>
          <w:p w:rsidR="00237F39" w:rsidRPr="00687D8F" w:rsidRDefault="00247E3A" w:rsidP="00381775">
            <w:pPr>
              <w:jc w:val="left"/>
              <w:rPr>
                <w:rFonts w:ascii="Times New Roman"/>
                <w:sz w:val="16"/>
                <w:szCs w:val="16"/>
              </w:rPr>
            </w:pPr>
            <w:hyperlink r:id="rId10" w:history="1">
              <w:r w:rsidR="00237F39" w:rsidRPr="00687D8F">
                <w:rPr>
                  <w:rStyle w:val="Hyperlink"/>
                  <w:rFonts w:ascii="Times New Roman"/>
                  <w:sz w:val="16"/>
                  <w:szCs w:val="16"/>
                </w:rPr>
                <w:t>roykatalin@hankooktire.com</w:t>
              </w:r>
            </w:hyperlink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 w:rsidRPr="00687D8F">
              <w:rPr>
                <w:rFonts w:ascii="Times New Roman"/>
                <w:b/>
                <w:sz w:val="16"/>
                <w:szCs w:val="16"/>
              </w:rPr>
              <w:t>Serfőző Zsóka</w:t>
            </w:r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687D8F">
              <w:rPr>
                <w:rFonts w:ascii="Times New Roman"/>
                <w:sz w:val="16"/>
                <w:szCs w:val="16"/>
              </w:rPr>
              <w:t xml:space="preserve">kommunikációs </w:t>
            </w:r>
            <w:r>
              <w:rPr>
                <w:rFonts w:ascii="Times New Roman"/>
                <w:sz w:val="16"/>
                <w:szCs w:val="16"/>
              </w:rPr>
              <w:t>szakértő</w:t>
            </w:r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687D8F">
              <w:rPr>
                <w:rFonts w:ascii="Times New Roman"/>
                <w:sz w:val="16"/>
                <w:szCs w:val="16"/>
              </w:rPr>
              <w:t>Tel.: +36 25 556 091</w:t>
            </w:r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color w:val="0070C0"/>
                <w:sz w:val="16"/>
                <w:szCs w:val="16"/>
              </w:rPr>
            </w:pPr>
            <w:r w:rsidRPr="00687D8F">
              <w:rPr>
                <w:rStyle w:val="Hyperlink"/>
                <w:rFonts w:ascii="Times New Roman"/>
                <w:sz w:val="16"/>
                <w:szCs w:val="16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237F39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b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  <w:szCs w:val="16"/>
              </w:rPr>
              <w:t>Boda Bence</w:t>
            </w:r>
          </w:p>
          <w:p w:rsidR="00237F39" w:rsidRPr="00EE2B6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EE2B6F">
              <w:rPr>
                <w:rFonts w:ascii="Times New Roman"/>
                <w:sz w:val="16"/>
                <w:szCs w:val="16"/>
              </w:rPr>
              <w:t>kommunikációs asszisztens</w:t>
            </w:r>
          </w:p>
          <w:p w:rsidR="00237F39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 w:rsidRPr="00EE2B6F">
              <w:rPr>
                <w:rFonts w:ascii="Times New Roman"/>
                <w:sz w:val="16"/>
                <w:szCs w:val="16"/>
              </w:rPr>
              <w:t>Tel.: +36 25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EE2B6F">
              <w:rPr>
                <w:rFonts w:ascii="Times New Roman"/>
                <w:sz w:val="16"/>
                <w:szCs w:val="16"/>
              </w:rPr>
              <w:t>556 096</w:t>
            </w:r>
          </w:p>
          <w:p w:rsidR="00237F39" w:rsidRPr="00687D8F" w:rsidRDefault="00237F39" w:rsidP="00381775">
            <w:pPr>
              <w:wordWrap/>
              <w:spacing w:line="200" w:lineRule="exact"/>
              <w:jc w:val="left"/>
              <w:rPr>
                <w:rFonts w:ascii="Times New Roman"/>
                <w:sz w:val="16"/>
                <w:szCs w:val="16"/>
              </w:rPr>
            </w:pPr>
            <w:r>
              <w:rPr>
                <w:rStyle w:val="Hyperlink"/>
                <w:rFonts w:ascii="Times New Roman"/>
                <w:sz w:val="16"/>
                <w:szCs w:val="16"/>
              </w:rPr>
              <w:t>bence.boda</w:t>
            </w:r>
            <w:r w:rsidRPr="00687D8F">
              <w:rPr>
                <w:rStyle w:val="Hyperlink"/>
                <w:rFonts w:ascii="Times New Roman"/>
                <w:sz w:val="16"/>
                <w:szCs w:val="16"/>
              </w:rPr>
              <w:t>@hankooktire.com</w:t>
            </w:r>
          </w:p>
        </w:tc>
      </w:tr>
    </w:tbl>
    <w:p w:rsidR="00A36415" w:rsidRPr="00F61C45" w:rsidRDefault="00A36415" w:rsidP="00F61C45">
      <w:pPr>
        <w:widowControl/>
        <w:wordWrap/>
        <w:autoSpaceDE/>
        <w:autoSpaceDN/>
        <w:jc w:val="left"/>
        <w:rPr>
          <w:rFonts w:ascii="Arial" w:hAnsi="Arial" w:cs="Arial"/>
          <w:kern w:val="0"/>
          <w:sz w:val="22"/>
          <w:szCs w:val="22"/>
        </w:rPr>
      </w:pPr>
    </w:p>
    <w:sectPr w:rsidR="00A36415" w:rsidRPr="00F61C45" w:rsidSect="00F61C45">
      <w:headerReference w:type="default" r:id="rId11"/>
      <w:pgSz w:w="11906" w:h="16838" w:code="9"/>
      <w:pgMar w:top="1985" w:right="1134" w:bottom="1134" w:left="1276" w:header="839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3A" w:rsidRDefault="00247E3A">
      <w:r>
        <w:separator/>
      </w:r>
    </w:p>
  </w:endnote>
  <w:endnote w:type="continuationSeparator" w:id="0">
    <w:p w:rsidR="00247E3A" w:rsidRDefault="0024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����">
    <w:altName w:val="Times New Roman"/>
    <w:charset w:val="00"/>
    <w:family w:val="auto"/>
    <w:pitch w:val="default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3A" w:rsidRDefault="00247E3A">
      <w:r>
        <w:separator/>
      </w:r>
    </w:p>
  </w:footnote>
  <w:footnote w:type="continuationSeparator" w:id="0">
    <w:p w:rsidR="00247E3A" w:rsidRDefault="0024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75" w:rsidRPr="007E3E56" w:rsidRDefault="00381775" w:rsidP="001F1E90">
    <w:pPr>
      <w:pStyle w:val="Kopfzeile"/>
      <w:rPr>
        <w:noProof/>
      </w:rPr>
    </w:pPr>
    <w:r>
      <w:rPr>
        <w:noProof/>
        <w:lang w:val="de-DE" w:eastAsia="de-DE"/>
      </w:rPr>
      <w:drawing>
        <wp:inline distT="0" distB="0" distL="0" distR="0">
          <wp:extent cx="5895975" cy="592455"/>
          <wp:effectExtent l="19050" t="0" r="9525" b="0"/>
          <wp:docPr id="1" name="그림 0" descr="HK_national_letterhead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918"/>
    <w:multiLevelType w:val="multilevel"/>
    <w:tmpl w:val="4D36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A5FE7"/>
    <w:multiLevelType w:val="hybridMultilevel"/>
    <w:tmpl w:val="F33E5092"/>
    <w:lvl w:ilvl="0" w:tplc="62723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21CE8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F8A71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D7418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7F2882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DF6E8E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3B67DE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A0FFE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F2C8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688"/>
    <w:rsid w:val="00001B26"/>
    <w:rsid w:val="00003ED4"/>
    <w:rsid w:val="000067F7"/>
    <w:rsid w:val="00006833"/>
    <w:rsid w:val="00017A2B"/>
    <w:rsid w:val="00017B17"/>
    <w:rsid w:val="00024C0C"/>
    <w:rsid w:val="00025A5C"/>
    <w:rsid w:val="0002772C"/>
    <w:rsid w:val="000411F2"/>
    <w:rsid w:val="0004355B"/>
    <w:rsid w:val="000517F4"/>
    <w:rsid w:val="000548E2"/>
    <w:rsid w:val="00056410"/>
    <w:rsid w:val="00062F90"/>
    <w:rsid w:val="00065180"/>
    <w:rsid w:val="00072626"/>
    <w:rsid w:val="00074290"/>
    <w:rsid w:val="0007704F"/>
    <w:rsid w:val="000831B1"/>
    <w:rsid w:val="00083F3C"/>
    <w:rsid w:val="000875D5"/>
    <w:rsid w:val="00092A45"/>
    <w:rsid w:val="0009371C"/>
    <w:rsid w:val="000B0BB5"/>
    <w:rsid w:val="000B411A"/>
    <w:rsid w:val="000B6958"/>
    <w:rsid w:val="000B7332"/>
    <w:rsid w:val="000C0314"/>
    <w:rsid w:val="000D109C"/>
    <w:rsid w:val="000D55CF"/>
    <w:rsid w:val="000E1D6D"/>
    <w:rsid w:val="000E603A"/>
    <w:rsid w:val="000F5664"/>
    <w:rsid w:val="000F6D80"/>
    <w:rsid w:val="00101BE8"/>
    <w:rsid w:val="00102EF0"/>
    <w:rsid w:val="00103304"/>
    <w:rsid w:val="00104B50"/>
    <w:rsid w:val="00106F2A"/>
    <w:rsid w:val="0010759B"/>
    <w:rsid w:val="00120D88"/>
    <w:rsid w:val="00120FBB"/>
    <w:rsid w:val="0012567D"/>
    <w:rsid w:val="0013142D"/>
    <w:rsid w:val="001317CC"/>
    <w:rsid w:val="001346E3"/>
    <w:rsid w:val="0014197F"/>
    <w:rsid w:val="00145ED1"/>
    <w:rsid w:val="00147F02"/>
    <w:rsid w:val="00150894"/>
    <w:rsid w:val="001614E2"/>
    <w:rsid w:val="00161E47"/>
    <w:rsid w:val="00162C66"/>
    <w:rsid w:val="00163322"/>
    <w:rsid w:val="00175A0A"/>
    <w:rsid w:val="00177ACB"/>
    <w:rsid w:val="001869DB"/>
    <w:rsid w:val="00197263"/>
    <w:rsid w:val="00197562"/>
    <w:rsid w:val="001A3A1B"/>
    <w:rsid w:val="001A50E6"/>
    <w:rsid w:val="001A61DE"/>
    <w:rsid w:val="001B201B"/>
    <w:rsid w:val="001C1BDA"/>
    <w:rsid w:val="001C2F90"/>
    <w:rsid w:val="001C361D"/>
    <w:rsid w:val="001C3AD8"/>
    <w:rsid w:val="001D0166"/>
    <w:rsid w:val="001E3019"/>
    <w:rsid w:val="001E34ED"/>
    <w:rsid w:val="001E4216"/>
    <w:rsid w:val="001F0FB4"/>
    <w:rsid w:val="001F1E90"/>
    <w:rsid w:val="001F656B"/>
    <w:rsid w:val="002003BA"/>
    <w:rsid w:val="00200EAE"/>
    <w:rsid w:val="002027B6"/>
    <w:rsid w:val="002108C8"/>
    <w:rsid w:val="00222A01"/>
    <w:rsid w:val="002248AD"/>
    <w:rsid w:val="00227BDC"/>
    <w:rsid w:val="00233E50"/>
    <w:rsid w:val="00233F45"/>
    <w:rsid w:val="0023653F"/>
    <w:rsid w:val="00237F39"/>
    <w:rsid w:val="00246D1F"/>
    <w:rsid w:val="00247E3A"/>
    <w:rsid w:val="0025379F"/>
    <w:rsid w:val="002556D7"/>
    <w:rsid w:val="0025739E"/>
    <w:rsid w:val="00267B18"/>
    <w:rsid w:val="002718FF"/>
    <w:rsid w:val="00271BA6"/>
    <w:rsid w:val="002755BD"/>
    <w:rsid w:val="002A5094"/>
    <w:rsid w:val="002A6543"/>
    <w:rsid w:val="002B30F1"/>
    <w:rsid w:val="002C00EE"/>
    <w:rsid w:val="002D0C91"/>
    <w:rsid w:val="002D27EF"/>
    <w:rsid w:val="002D4BAE"/>
    <w:rsid w:val="002D4F96"/>
    <w:rsid w:val="002D5B1A"/>
    <w:rsid w:val="002E4904"/>
    <w:rsid w:val="002F4BA8"/>
    <w:rsid w:val="002F6C1C"/>
    <w:rsid w:val="002F7B1B"/>
    <w:rsid w:val="0030092B"/>
    <w:rsid w:val="00300BEF"/>
    <w:rsid w:val="003049EE"/>
    <w:rsid w:val="00304B76"/>
    <w:rsid w:val="003112B9"/>
    <w:rsid w:val="0031176B"/>
    <w:rsid w:val="00312849"/>
    <w:rsid w:val="003136F1"/>
    <w:rsid w:val="00314014"/>
    <w:rsid w:val="00321F8C"/>
    <w:rsid w:val="003246D9"/>
    <w:rsid w:val="00331C51"/>
    <w:rsid w:val="00333E80"/>
    <w:rsid w:val="00335E06"/>
    <w:rsid w:val="00343CCC"/>
    <w:rsid w:val="00344D69"/>
    <w:rsid w:val="00344F0A"/>
    <w:rsid w:val="00360B1F"/>
    <w:rsid w:val="00362D20"/>
    <w:rsid w:val="00363C25"/>
    <w:rsid w:val="003643E1"/>
    <w:rsid w:val="00364861"/>
    <w:rsid w:val="00371E7C"/>
    <w:rsid w:val="00377C2E"/>
    <w:rsid w:val="00381775"/>
    <w:rsid w:val="00383460"/>
    <w:rsid w:val="003849C6"/>
    <w:rsid w:val="0038762D"/>
    <w:rsid w:val="00387F7A"/>
    <w:rsid w:val="003917CC"/>
    <w:rsid w:val="003A4235"/>
    <w:rsid w:val="003A4407"/>
    <w:rsid w:val="003A4F6D"/>
    <w:rsid w:val="003A723F"/>
    <w:rsid w:val="003B278F"/>
    <w:rsid w:val="003B2E25"/>
    <w:rsid w:val="003B3191"/>
    <w:rsid w:val="003B44B4"/>
    <w:rsid w:val="003C0FBD"/>
    <w:rsid w:val="003C5210"/>
    <w:rsid w:val="003C7BFC"/>
    <w:rsid w:val="003D58E0"/>
    <w:rsid w:val="003D68C7"/>
    <w:rsid w:val="003E1A1E"/>
    <w:rsid w:val="003E4726"/>
    <w:rsid w:val="003F2DE3"/>
    <w:rsid w:val="004041F4"/>
    <w:rsid w:val="004157B0"/>
    <w:rsid w:val="004200B8"/>
    <w:rsid w:val="004206E9"/>
    <w:rsid w:val="00420E15"/>
    <w:rsid w:val="004350DC"/>
    <w:rsid w:val="00436EAA"/>
    <w:rsid w:val="004414C4"/>
    <w:rsid w:val="0044446D"/>
    <w:rsid w:val="00444993"/>
    <w:rsid w:val="00444E7F"/>
    <w:rsid w:val="004460D3"/>
    <w:rsid w:val="00446550"/>
    <w:rsid w:val="00447A3E"/>
    <w:rsid w:val="00447E1D"/>
    <w:rsid w:val="00455AEE"/>
    <w:rsid w:val="00455B15"/>
    <w:rsid w:val="00457BD7"/>
    <w:rsid w:val="00460D21"/>
    <w:rsid w:val="004732AC"/>
    <w:rsid w:val="0047391A"/>
    <w:rsid w:val="004824FA"/>
    <w:rsid w:val="00485225"/>
    <w:rsid w:val="00487547"/>
    <w:rsid w:val="00497A8D"/>
    <w:rsid w:val="004A31F4"/>
    <w:rsid w:val="004B150E"/>
    <w:rsid w:val="004C29C2"/>
    <w:rsid w:val="004C6ECC"/>
    <w:rsid w:val="004E261D"/>
    <w:rsid w:val="004F28A8"/>
    <w:rsid w:val="004F2952"/>
    <w:rsid w:val="005011CC"/>
    <w:rsid w:val="0050351C"/>
    <w:rsid w:val="005037DC"/>
    <w:rsid w:val="0053099D"/>
    <w:rsid w:val="00530BA4"/>
    <w:rsid w:val="00533C3E"/>
    <w:rsid w:val="005376B1"/>
    <w:rsid w:val="00541584"/>
    <w:rsid w:val="00544BA4"/>
    <w:rsid w:val="00551780"/>
    <w:rsid w:val="005553B9"/>
    <w:rsid w:val="005601DA"/>
    <w:rsid w:val="00560424"/>
    <w:rsid w:val="00562EB1"/>
    <w:rsid w:val="00572854"/>
    <w:rsid w:val="00572CF3"/>
    <w:rsid w:val="00572F13"/>
    <w:rsid w:val="00576183"/>
    <w:rsid w:val="00577CD5"/>
    <w:rsid w:val="00581A3B"/>
    <w:rsid w:val="00581E18"/>
    <w:rsid w:val="00582DDB"/>
    <w:rsid w:val="00585BFE"/>
    <w:rsid w:val="00586C41"/>
    <w:rsid w:val="00596081"/>
    <w:rsid w:val="005A26B2"/>
    <w:rsid w:val="005A3D7C"/>
    <w:rsid w:val="005A508B"/>
    <w:rsid w:val="005A5A44"/>
    <w:rsid w:val="005B210E"/>
    <w:rsid w:val="005B219E"/>
    <w:rsid w:val="005B51AA"/>
    <w:rsid w:val="005C05F6"/>
    <w:rsid w:val="005C0C4E"/>
    <w:rsid w:val="005C0FB0"/>
    <w:rsid w:val="005C181C"/>
    <w:rsid w:val="005C412D"/>
    <w:rsid w:val="005D201B"/>
    <w:rsid w:val="005D4631"/>
    <w:rsid w:val="005D4CD7"/>
    <w:rsid w:val="005E6475"/>
    <w:rsid w:val="005F37C4"/>
    <w:rsid w:val="005F3C4A"/>
    <w:rsid w:val="005F7047"/>
    <w:rsid w:val="005F7481"/>
    <w:rsid w:val="00607FEE"/>
    <w:rsid w:val="0061114B"/>
    <w:rsid w:val="0061202C"/>
    <w:rsid w:val="00612C39"/>
    <w:rsid w:val="00614B40"/>
    <w:rsid w:val="00615848"/>
    <w:rsid w:val="006179DA"/>
    <w:rsid w:val="00621306"/>
    <w:rsid w:val="006445FB"/>
    <w:rsid w:val="0064577B"/>
    <w:rsid w:val="00647311"/>
    <w:rsid w:val="00655AAF"/>
    <w:rsid w:val="00662147"/>
    <w:rsid w:val="006667B6"/>
    <w:rsid w:val="00666939"/>
    <w:rsid w:val="00667BB8"/>
    <w:rsid w:val="00671285"/>
    <w:rsid w:val="00673B55"/>
    <w:rsid w:val="0068335A"/>
    <w:rsid w:val="006845C6"/>
    <w:rsid w:val="00686AE0"/>
    <w:rsid w:val="00686D56"/>
    <w:rsid w:val="00696E35"/>
    <w:rsid w:val="006972E3"/>
    <w:rsid w:val="006A5A04"/>
    <w:rsid w:val="006A5C6C"/>
    <w:rsid w:val="006B6A63"/>
    <w:rsid w:val="006C6E9C"/>
    <w:rsid w:val="006C7894"/>
    <w:rsid w:val="006D0C54"/>
    <w:rsid w:val="006D1B2E"/>
    <w:rsid w:val="006D2B42"/>
    <w:rsid w:val="006D3D26"/>
    <w:rsid w:val="006D7992"/>
    <w:rsid w:val="006E32E9"/>
    <w:rsid w:val="006E3B5A"/>
    <w:rsid w:val="006E451A"/>
    <w:rsid w:val="006F16FE"/>
    <w:rsid w:val="006F3E1C"/>
    <w:rsid w:val="006F3EA3"/>
    <w:rsid w:val="006F50B5"/>
    <w:rsid w:val="006F6C09"/>
    <w:rsid w:val="0070081A"/>
    <w:rsid w:val="00711E67"/>
    <w:rsid w:val="00713C21"/>
    <w:rsid w:val="00715BB9"/>
    <w:rsid w:val="00716459"/>
    <w:rsid w:val="007165BD"/>
    <w:rsid w:val="007232C9"/>
    <w:rsid w:val="00724B36"/>
    <w:rsid w:val="00725098"/>
    <w:rsid w:val="0073576C"/>
    <w:rsid w:val="00742854"/>
    <w:rsid w:val="0076020A"/>
    <w:rsid w:val="007627A2"/>
    <w:rsid w:val="00766647"/>
    <w:rsid w:val="007713B4"/>
    <w:rsid w:val="007843E8"/>
    <w:rsid w:val="00784A84"/>
    <w:rsid w:val="00784FE0"/>
    <w:rsid w:val="00790A5A"/>
    <w:rsid w:val="00790CA1"/>
    <w:rsid w:val="007911B2"/>
    <w:rsid w:val="00794773"/>
    <w:rsid w:val="0079682A"/>
    <w:rsid w:val="007A26F4"/>
    <w:rsid w:val="007A69DF"/>
    <w:rsid w:val="007B2158"/>
    <w:rsid w:val="007B21B8"/>
    <w:rsid w:val="007B7E9F"/>
    <w:rsid w:val="007C2657"/>
    <w:rsid w:val="007C2672"/>
    <w:rsid w:val="007C61BE"/>
    <w:rsid w:val="007D773A"/>
    <w:rsid w:val="007E2845"/>
    <w:rsid w:val="007E3092"/>
    <w:rsid w:val="007E54F5"/>
    <w:rsid w:val="007F1EB0"/>
    <w:rsid w:val="007F5659"/>
    <w:rsid w:val="008047F0"/>
    <w:rsid w:val="00807476"/>
    <w:rsid w:val="008161DF"/>
    <w:rsid w:val="00816A3F"/>
    <w:rsid w:val="00817D1E"/>
    <w:rsid w:val="00820464"/>
    <w:rsid w:val="008234C7"/>
    <w:rsid w:val="00823811"/>
    <w:rsid w:val="00830A3E"/>
    <w:rsid w:val="00832C60"/>
    <w:rsid w:val="00834BD8"/>
    <w:rsid w:val="00840316"/>
    <w:rsid w:val="00842D2D"/>
    <w:rsid w:val="00857B3E"/>
    <w:rsid w:val="00857BB8"/>
    <w:rsid w:val="00862CA4"/>
    <w:rsid w:val="0086444D"/>
    <w:rsid w:val="008650BC"/>
    <w:rsid w:val="00865A22"/>
    <w:rsid w:val="008726AA"/>
    <w:rsid w:val="008759AC"/>
    <w:rsid w:val="00880154"/>
    <w:rsid w:val="008805BC"/>
    <w:rsid w:val="008903C8"/>
    <w:rsid w:val="008922CE"/>
    <w:rsid w:val="00894A06"/>
    <w:rsid w:val="00895890"/>
    <w:rsid w:val="008A2954"/>
    <w:rsid w:val="008B2C3F"/>
    <w:rsid w:val="008C0A9C"/>
    <w:rsid w:val="008C0CCF"/>
    <w:rsid w:val="008C351A"/>
    <w:rsid w:val="008C3CE0"/>
    <w:rsid w:val="008C6923"/>
    <w:rsid w:val="008C6CE9"/>
    <w:rsid w:val="008D569C"/>
    <w:rsid w:val="008E38C8"/>
    <w:rsid w:val="008E3F8F"/>
    <w:rsid w:val="008E5266"/>
    <w:rsid w:val="008E5716"/>
    <w:rsid w:val="008E7F71"/>
    <w:rsid w:val="008F1402"/>
    <w:rsid w:val="008F4428"/>
    <w:rsid w:val="008F53F3"/>
    <w:rsid w:val="009042E3"/>
    <w:rsid w:val="00905A22"/>
    <w:rsid w:val="0091487F"/>
    <w:rsid w:val="00917ED4"/>
    <w:rsid w:val="00917F13"/>
    <w:rsid w:val="00921206"/>
    <w:rsid w:val="0092297D"/>
    <w:rsid w:val="00922D88"/>
    <w:rsid w:val="0092333D"/>
    <w:rsid w:val="009265F3"/>
    <w:rsid w:val="009408EB"/>
    <w:rsid w:val="00945782"/>
    <w:rsid w:val="00946E3B"/>
    <w:rsid w:val="00950A55"/>
    <w:rsid w:val="00961163"/>
    <w:rsid w:val="00962FEC"/>
    <w:rsid w:val="00965C7E"/>
    <w:rsid w:val="009801A3"/>
    <w:rsid w:val="009832E3"/>
    <w:rsid w:val="00984E2B"/>
    <w:rsid w:val="009856BB"/>
    <w:rsid w:val="0098683B"/>
    <w:rsid w:val="00994023"/>
    <w:rsid w:val="00996B66"/>
    <w:rsid w:val="00996F19"/>
    <w:rsid w:val="009A2AEE"/>
    <w:rsid w:val="009B0771"/>
    <w:rsid w:val="009B107B"/>
    <w:rsid w:val="009B1ECB"/>
    <w:rsid w:val="009B6805"/>
    <w:rsid w:val="009B7FB6"/>
    <w:rsid w:val="009C4F5E"/>
    <w:rsid w:val="009D0A85"/>
    <w:rsid w:val="009D3098"/>
    <w:rsid w:val="009E03BE"/>
    <w:rsid w:val="009E0C28"/>
    <w:rsid w:val="009E525A"/>
    <w:rsid w:val="009F42EC"/>
    <w:rsid w:val="00A05941"/>
    <w:rsid w:val="00A06268"/>
    <w:rsid w:val="00A12CCD"/>
    <w:rsid w:val="00A20652"/>
    <w:rsid w:val="00A250B5"/>
    <w:rsid w:val="00A26C68"/>
    <w:rsid w:val="00A36415"/>
    <w:rsid w:val="00A46FAC"/>
    <w:rsid w:val="00A4768A"/>
    <w:rsid w:val="00A505B3"/>
    <w:rsid w:val="00A51B88"/>
    <w:rsid w:val="00A51DA9"/>
    <w:rsid w:val="00A52032"/>
    <w:rsid w:val="00A52DF5"/>
    <w:rsid w:val="00A535A3"/>
    <w:rsid w:val="00A54D17"/>
    <w:rsid w:val="00A5536F"/>
    <w:rsid w:val="00A577E0"/>
    <w:rsid w:val="00A57A2D"/>
    <w:rsid w:val="00A6095A"/>
    <w:rsid w:val="00A60D1B"/>
    <w:rsid w:val="00A617A2"/>
    <w:rsid w:val="00A63D45"/>
    <w:rsid w:val="00A66571"/>
    <w:rsid w:val="00A668CE"/>
    <w:rsid w:val="00A72685"/>
    <w:rsid w:val="00A745C2"/>
    <w:rsid w:val="00A7478E"/>
    <w:rsid w:val="00A74839"/>
    <w:rsid w:val="00A74EFA"/>
    <w:rsid w:val="00A75C31"/>
    <w:rsid w:val="00A76580"/>
    <w:rsid w:val="00A870E1"/>
    <w:rsid w:val="00A90169"/>
    <w:rsid w:val="00A909EF"/>
    <w:rsid w:val="00AA23C4"/>
    <w:rsid w:val="00AA61BE"/>
    <w:rsid w:val="00AB744B"/>
    <w:rsid w:val="00AC0B4C"/>
    <w:rsid w:val="00AC6C32"/>
    <w:rsid w:val="00AD35F8"/>
    <w:rsid w:val="00AE3306"/>
    <w:rsid w:val="00AE51AE"/>
    <w:rsid w:val="00AF4514"/>
    <w:rsid w:val="00AF5544"/>
    <w:rsid w:val="00B00050"/>
    <w:rsid w:val="00B0660F"/>
    <w:rsid w:val="00B131E8"/>
    <w:rsid w:val="00B13A1C"/>
    <w:rsid w:val="00B13ACA"/>
    <w:rsid w:val="00B21381"/>
    <w:rsid w:val="00B234CA"/>
    <w:rsid w:val="00B25C14"/>
    <w:rsid w:val="00B35956"/>
    <w:rsid w:val="00B37345"/>
    <w:rsid w:val="00B373A6"/>
    <w:rsid w:val="00B41961"/>
    <w:rsid w:val="00B43C9A"/>
    <w:rsid w:val="00B460D9"/>
    <w:rsid w:val="00B50E9B"/>
    <w:rsid w:val="00B55861"/>
    <w:rsid w:val="00B55D94"/>
    <w:rsid w:val="00B576C7"/>
    <w:rsid w:val="00B67D46"/>
    <w:rsid w:val="00B73D7E"/>
    <w:rsid w:val="00B84802"/>
    <w:rsid w:val="00B903C3"/>
    <w:rsid w:val="00B91A0E"/>
    <w:rsid w:val="00B95AD6"/>
    <w:rsid w:val="00BB2D24"/>
    <w:rsid w:val="00BC3FA8"/>
    <w:rsid w:val="00BC5355"/>
    <w:rsid w:val="00BC660A"/>
    <w:rsid w:val="00BD3FAA"/>
    <w:rsid w:val="00BE4ED4"/>
    <w:rsid w:val="00BF5A72"/>
    <w:rsid w:val="00C00ACF"/>
    <w:rsid w:val="00C00DCB"/>
    <w:rsid w:val="00C016E0"/>
    <w:rsid w:val="00C01F52"/>
    <w:rsid w:val="00C1195C"/>
    <w:rsid w:val="00C21867"/>
    <w:rsid w:val="00C22E49"/>
    <w:rsid w:val="00C25161"/>
    <w:rsid w:val="00C260C2"/>
    <w:rsid w:val="00C337C6"/>
    <w:rsid w:val="00C40688"/>
    <w:rsid w:val="00C4099F"/>
    <w:rsid w:val="00C41D29"/>
    <w:rsid w:val="00C4386E"/>
    <w:rsid w:val="00C4433C"/>
    <w:rsid w:val="00C4683D"/>
    <w:rsid w:val="00C516D6"/>
    <w:rsid w:val="00C52F5F"/>
    <w:rsid w:val="00C60CE2"/>
    <w:rsid w:val="00C60ED8"/>
    <w:rsid w:val="00C61C69"/>
    <w:rsid w:val="00C63E12"/>
    <w:rsid w:val="00C65850"/>
    <w:rsid w:val="00C705B7"/>
    <w:rsid w:val="00C72490"/>
    <w:rsid w:val="00C76E74"/>
    <w:rsid w:val="00C8029D"/>
    <w:rsid w:val="00C81399"/>
    <w:rsid w:val="00C866C8"/>
    <w:rsid w:val="00C972A6"/>
    <w:rsid w:val="00CA50AE"/>
    <w:rsid w:val="00CB28A1"/>
    <w:rsid w:val="00CB2DC4"/>
    <w:rsid w:val="00CB3022"/>
    <w:rsid w:val="00CB30AA"/>
    <w:rsid w:val="00CC0BBA"/>
    <w:rsid w:val="00CE0695"/>
    <w:rsid w:val="00CE0E73"/>
    <w:rsid w:val="00CE2E42"/>
    <w:rsid w:val="00CE53A7"/>
    <w:rsid w:val="00CE584B"/>
    <w:rsid w:val="00CE5D17"/>
    <w:rsid w:val="00CE6304"/>
    <w:rsid w:val="00CF0E04"/>
    <w:rsid w:val="00CF1C31"/>
    <w:rsid w:val="00D0031C"/>
    <w:rsid w:val="00D0459C"/>
    <w:rsid w:val="00D06108"/>
    <w:rsid w:val="00D1194E"/>
    <w:rsid w:val="00D11E7A"/>
    <w:rsid w:val="00D12A06"/>
    <w:rsid w:val="00D221C8"/>
    <w:rsid w:val="00D24CAC"/>
    <w:rsid w:val="00D251E2"/>
    <w:rsid w:val="00D35D7F"/>
    <w:rsid w:val="00D373E8"/>
    <w:rsid w:val="00D423AB"/>
    <w:rsid w:val="00D43C92"/>
    <w:rsid w:val="00D453A8"/>
    <w:rsid w:val="00D46A3C"/>
    <w:rsid w:val="00D4713B"/>
    <w:rsid w:val="00D534C0"/>
    <w:rsid w:val="00D61307"/>
    <w:rsid w:val="00D62752"/>
    <w:rsid w:val="00D65CF1"/>
    <w:rsid w:val="00D75368"/>
    <w:rsid w:val="00D76BD0"/>
    <w:rsid w:val="00D8477F"/>
    <w:rsid w:val="00D87261"/>
    <w:rsid w:val="00D8749B"/>
    <w:rsid w:val="00D90F33"/>
    <w:rsid w:val="00D924DD"/>
    <w:rsid w:val="00DA01EE"/>
    <w:rsid w:val="00DA390E"/>
    <w:rsid w:val="00DA5929"/>
    <w:rsid w:val="00DB33B9"/>
    <w:rsid w:val="00DB655B"/>
    <w:rsid w:val="00DC3D3F"/>
    <w:rsid w:val="00DD699B"/>
    <w:rsid w:val="00DE0692"/>
    <w:rsid w:val="00DE40A0"/>
    <w:rsid w:val="00DE4CE6"/>
    <w:rsid w:val="00DE6F91"/>
    <w:rsid w:val="00DF5389"/>
    <w:rsid w:val="00E00A32"/>
    <w:rsid w:val="00E12C17"/>
    <w:rsid w:val="00E1337E"/>
    <w:rsid w:val="00E141CB"/>
    <w:rsid w:val="00E20F68"/>
    <w:rsid w:val="00E22F35"/>
    <w:rsid w:val="00E321A8"/>
    <w:rsid w:val="00E3373B"/>
    <w:rsid w:val="00E41893"/>
    <w:rsid w:val="00E523B6"/>
    <w:rsid w:val="00E54916"/>
    <w:rsid w:val="00E56CD3"/>
    <w:rsid w:val="00E56FF3"/>
    <w:rsid w:val="00E57F4D"/>
    <w:rsid w:val="00E66D67"/>
    <w:rsid w:val="00E66E4A"/>
    <w:rsid w:val="00E86F42"/>
    <w:rsid w:val="00E91F6B"/>
    <w:rsid w:val="00EA49AE"/>
    <w:rsid w:val="00EB1962"/>
    <w:rsid w:val="00EC6383"/>
    <w:rsid w:val="00EC66A7"/>
    <w:rsid w:val="00ED0617"/>
    <w:rsid w:val="00ED3C4B"/>
    <w:rsid w:val="00ED6DA7"/>
    <w:rsid w:val="00EE03AF"/>
    <w:rsid w:val="00EE126A"/>
    <w:rsid w:val="00EF2AAC"/>
    <w:rsid w:val="00EF4261"/>
    <w:rsid w:val="00EF4655"/>
    <w:rsid w:val="00F06FB2"/>
    <w:rsid w:val="00F1557C"/>
    <w:rsid w:val="00F160D1"/>
    <w:rsid w:val="00F22246"/>
    <w:rsid w:val="00F2681D"/>
    <w:rsid w:val="00F27925"/>
    <w:rsid w:val="00F31841"/>
    <w:rsid w:val="00F31DD4"/>
    <w:rsid w:val="00F3212E"/>
    <w:rsid w:val="00F32D3F"/>
    <w:rsid w:val="00F34B5E"/>
    <w:rsid w:val="00F44A39"/>
    <w:rsid w:val="00F54113"/>
    <w:rsid w:val="00F61C45"/>
    <w:rsid w:val="00F626CE"/>
    <w:rsid w:val="00F6287A"/>
    <w:rsid w:val="00F66E1C"/>
    <w:rsid w:val="00F728F6"/>
    <w:rsid w:val="00F748F3"/>
    <w:rsid w:val="00F75A33"/>
    <w:rsid w:val="00F77110"/>
    <w:rsid w:val="00F8274F"/>
    <w:rsid w:val="00F83768"/>
    <w:rsid w:val="00F90176"/>
    <w:rsid w:val="00F93CDE"/>
    <w:rsid w:val="00F94621"/>
    <w:rsid w:val="00F9558F"/>
    <w:rsid w:val="00F9705D"/>
    <w:rsid w:val="00FA1B15"/>
    <w:rsid w:val="00FA69B1"/>
    <w:rsid w:val="00FC0223"/>
    <w:rsid w:val="00FC11A6"/>
    <w:rsid w:val="00FC50E9"/>
    <w:rsid w:val="00FC63FA"/>
    <w:rsid w:val="00FC6E23"/>
    <w:rsid w:val="00FD3CD6"/>
    <w:rsid w:val="00FD451F"/>
    <w:rsid w:val="00FD4730"/>
    <w:rsid w:val="00FD5776"/>
    <w:rsid w:val="00FD6AF0"/>
    <w:rsid w:val="00FD7BC4"/>
    <w:rsid w:val="00FE0991"/>
    <w:rsid w:val="00FE5D10"/>
    <w:rsid w:val="00FE72AB"/>
    <w:rsid w:val="00FE7D48"/>
    <w:rsid w:val="00FF00CE"/>
    <w:rsid w:val="00FF2621"/>
    <w:rsid w:val="00FF31F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8E13A"/>
  <w15:docId w15:val="{650E0C4B-12AE-4631-866A-9CF75AD2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40688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le general,_0Table Grid"/>
    <w:basedOn w:val="NormaleTabelle"/>
    <w:rsid w:val="00C40688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068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KopfzeileZchn">
    <w:name w:val="Kopfzeile Zchn"/>
    <w:link w:val="Kopfzeile"/>
    <w:rsid w:val="00C40688"/>
    <w:rPr>
      <w:rFonts w:ascii="Batang" w:eastAsia="Batang" w:hAnsi="Times New Roman" w:cs="Times New Roman"/>
      <w:szCs w:val="24"/>
    </w:rPr>
  </w:style>
  <w:style w:type="character" w:styleId="Hyperlink">
    <w:name w:val="Hyperlink"/>
    <w:unhideWhenUsed/>
    <w:rsid w:val="00C4068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40688"/>
    <w:pPr>
      <w:widowControl/>
      <w:wordWrap/>
      <w:autoSpaceDE/>
      <w:autoSpaceDN/>
      <w:jc w:val="left"/>
    </w:pPr>
    <w:rPr>
      <w:rFonts w:ascii="����" w:eastAsia="Gulim" w:hAnsi="����" w:cs="Gulim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C40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688"/>
    <w:rPr>
      <w:rFonts w:ascii="Malgun Gothic" w:eastAsia="Malgun Gothic" w:hAnsi="Malgun Gothic"/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40688"/>
    <w:rPr>
      <w:rFonts w:ascii="Malgun Gothic" w:eastAsia="Malgun Gothic" w:hAnsi="Malgun Gothic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049EE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3049EE"/>
    <w:rPr>
      <w:rFonts w:ascii="Batang" w:eastAsia="Batang" w:hAnsi="Times New Roman"/>
      <w:kern w:val="2"/>
      <w:szCs w:val="24"/>
    </w:rPr>
  </w:style>
  <w:style w:type="character" w:customStyle="1" w:styleId="resenkohighlightspan">
    <w:name w:val="resenkohighlightspan"/>
    <w:rsid w:val="00A74839"/>
  </w:style>
  <w:style w:type="character" w:customStyle="1" w:styleId="srcenkohighlightspan">
    <w:name w:val="srcenkohighlightspan"/>
    <w:rsid w:val="00222A01"/>
  </w:style>
  <w:style w:type="character" w:styleId="Hervorhebung">
    <w:name w:val="Emphasis"/>
    <w:uiPriority w:val="20"/>
    <w:qFormat/>
    <w:rsid w:val="00CC0BBA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9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991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991"/>
    <w:rPr>
      <w:rFonts w:ascii="Batang" w:eastAsia="Batang" w:hAnsi="Times New Roman"/>
      <w:kern w:val="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991"/>
    <w:rPr>
      <w:rFonts w:ascii="Batang" w:eastAsia="Batang" w:hAnsi="Times New Roman"/>
      <w:b/>
      <w:bCs/>
      <w:kern w:val="2"/>
      <w:szCs w:val="24"/>
    </w:rPr>
  </w:style>
  <w:style w:type="paragraph" w:styleId="berarbeitung">
    <w:name w:val="Revision"/>
    <w:hidden/>
    <w:uiPriority w:val="99"/>
    <w:semiHidden/>
    <w:rsid w:val="002A6543"/>
    <w:rPr>
      <w:rFonts w:ascii="Batang" w:eastAsia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70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194540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47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399603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1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458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2491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130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501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312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995916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3333">
                  <w:marLeft w:val="0"/>
                  <w:marRight w:val="0"/>
                  <w:marTop w:val="0"/>
                  <w:marBottom w:val="0"/>
                  <w:divBdr>
                    <w:top w:val="single" w:sz="6" w:space="0" w:color="E3E3E4"/>
                    <w:left w:val="single" w:sz="6" w:space="0" w:color="E3E3E4"/>
                    <w:bottom w:val="single" w:sz="6" w:space="0" w:color="E3E3E4"/>
                    <w:right w:val="single" w:sz="6" w:space="0" w:color="E3E3E4"/>
                  </w:divBdr>
                  <w:divsChild>
                    <w:div w:id="13632837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31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pre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ykatalin@hankookti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14F4-D6EE-4738-97FF-DD7798CB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mailto:mina@brodeurap.com</vt:lpwstr>
      </vt:variant>
      <vt:variant>
        <vt:lpwstr/>
      </vt:variant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mailto:sooyong@brodeurap.com</vt:lpwstr>
      </vt:variant>
      <vt:variant>
        <vt:lpwstr/>
      </vt:variant>
      <vt:variant>
        <vt:i4>852026</vt:i4>
      </vt:variant>
      <vt:variant>
        <vt:i4>9</vt:i4>
      </vt:variant>
      <vt:variant>
        <vt:i4>0</vt:i4>
      </vt:variant>
      <vt:variant>
        <vt:i4>5</vt:i4>
      </vt:variant>
      <vt:variant>
        <vt:lpwstr>mailto:eugine@brodeurap.com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mailto:Inyoung.Chung@hankooktire.com</vt:lpwstr>
      </vt:variant>
      <vt:variant>
        <vt:lpwstr/>
      </vt:variant>
      <vt:variant>
        <vt:i4>655470</vt:i4>
      </vt:variant>
      <vt:variant>
        <vt:i4>3</vt:i4>
      </vt:variant>
      <vt:variant>
        <vt:i4>0</vt:i4>
      </vt:variant>
      <vt:variant>
        <vt:i4>5</vt:i4>
      </vt:variant>
      <vt:variant>
        <vt:lpwstr>mailto:suyun.cho@hankooktire.com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http://www.hankooktire.com/global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</dc:creator>
  <cp:lastModifiedBy>Andreas Lubitz</cp:lastModifiedBy>
  <cp:revision>38</cp:revision>
  <cp:lastPrinted>2017-02-06T07:55:00Z</cp:lastPrinted>
  <dcterms:created xsi:type="dcterms:W3CDTF">2017-02-13T09:45:00Z</dcterms:created>
  <dcterms:modified xsi:type="dcterms:W3CDTF">2017-02-14T09:11:00Z</dcterms:modified>
</cp:coreProperties>
</file>