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6BB2C" w14:textId="0CCEA0F4" w:rsidR="00C4683D" w:rsidRPr="00C1195C" w:rsidRDefault="00C4683D" w:rsidP="00A76580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 w:rsidRPr="00C1195C">
        <w:rPr>
          <w:rFonts w:ascii="Arial" w:eastAsia="Dotum" w:hAnsi="Arial" w:cs="Arial"/>
          <w:b/>
          <w:color w:val="FF6600"/>
          <w:sz w:val="32"/>
          <w:szCs w:val="32"/>
        </w:rPr>
        <w:t xml:space="preserve">Hankook Tire Reports </w:t>
      </w:r>
      <w:r w:rsidR="00FF7064" w:rsidRPr="00C1195C">
        <w:rPr>
          <w:rFonts w:ascii="Arial" w:eastAsia="Dotum" w:hAnsi="Arial" w:cs="Arial"/>
          <w:b/>
          <w:color w:val="FF6600"/>
          <w:sz w:val="32"/>
          <w:szCs w:val="32"/>
        </w:rPr>
        <w:t xml:space="preserve">Global </w:t>
      </w:r>
      <w:r w:rsidRPr="00C1195C">
        <w:rPr>
          <w:rFonts w:ascii="Arial" w:eastAsia="Dotum" w:hAnsi="Arial" w:cs="Arial"/>
          <w:b/>
          <w:color w:val="FF6600"/>
          <w:sz w:val="32"/>
          <w:szCs w:val="32"/>
        </w:rPr>
        <w:t>Financial Results</w:t>
      </w:r>
    </w:p>
    <w:p w14:paraId="1B821C69" w14:textId="40BCD642" w:rsidR="007713B4" w:rsidRPr="00C1195C" w:rsidRDefault="008047F0" w:rsidP="007713B4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proofErr w:type="gramStart"/>
      <w:r w:rsidRPr="00C1195C">
        <w:rPr>
          <w:rFonts w:ascii="Arial" w:eastAsia="Dotum" w:hAnsi="Arial" w:cs="Arial"/>
          <w:b/>
          <w:color w:val="FF6600"/>
          <w:sz w:val="32"/>
          <w:szCs w:val="32"/>
        </w:rPr>
        <w:t>for</w:t>
      </w:r>
      <w:proofErr w:type="gramEnd"/>
      <w:r w:rsidRPr="00C1195C">
        <w:rPr>
          <w:rFonts w:ascii="Arial" w:eastAsia="Dotum" w:hAnsi="Arial" w:cs="Arial"/>
          <w:b/>
          <w:color w:val="FF6600"/>
          <w:sz w:val="32"/>
          <w:szCs w:val="32"/>
        </w:rPr>
        <w:t xml:space="preserve"> the F</w:t>
      </w:r>
      <w:r w:rsidR="00C4683D" w:rsidRPr="00C1195C">
        <w:rPr>
          <w:rFonts w:ascii="Arial" w:eastAsia="Dotum" w:hAnsi="Arial" w:cs="Arial"/>
          <w:b/>
          <w:color w:val="FF6600"/>
          <w:sz w:val="32"/>
          <w:szCs w:val="32"/>
        </w:rPr>
        <w:t>o</w:t>
      </w:r>
      <w:r w:rsidR="001C361D" w:rsidRPr="00C1195C">
        <w:rPr>
          <w:rFonts w:ascii="Arial" w:eastAsia="Dotum" w:hAnsi="Arial" w:cs="Arial"/>
          <w:b/>
          <w:color w:val="FF6600"/>
          <w:sz w:val="32"/>
          <w:szCs w:val="32"/>
        </w:rPr>
        <w:t>u</w:t>
      </w:r>
      <w:r w:rsidR="00C4683D" w:rsidRPr="00C1195C">
        <w:rPr>
          <w:rFonts w:ascii="Arial" w:eastAsia="Dotum" w:hAnsi="Arial" w:cs="Arial"/>
          <w:b/>
          <w:color w:val="FF6600"/>
          <w:sz w:val="32"/>
          <w:szCs w:val="32"/>
        </w:rPr>
        <w:t>rth Quarter of 2016</w:t>
      </w:r>
    </w:p>
    <w:p w14:paraId="098BF0F9" w14:textId="77777777" w:rsidR="00C4683D" w:rsidRPr="008047F0" w:rsidRDefault="00C4683D" w:rsidP="007713B4">
      <w:pPr>
        <w:snapToGrid w:val="0"/>
        <w:ind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</w:p>
    <w:p w14:paraId="358BBD98" w14:textId="30B3E728" w:rsidR="00EC6383" w:rsidRPr="00EC6383" w:rsidRDefault="00F3212E" w:rsidP="00EC6383">
      <w:pPr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rightChars="-15" w:right="-30"/>
        <w:rPr>
          <w:rFonts w:ascii="Times New Roman"/>
          <w:b/>
          <w:iCs/>
          <w:color w:val="000000" w:themeColor="text1"/>
          <w:kern w:val="0"/>
          <w:sz w:val="22"/>
          <w:szCs w:val="22"/>
        </w:rPr>
      </w:pPr>
      <w:r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Hankook </w:t>
      </w:r>
      <w:r w:rsidR="00344D69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announced</w:t>
      </w:r>
      <w:r w:rsidR="00FC50E9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global </w:t>
      </w:r>
      <w:r w:rsidR="00344D69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s</w:t>
      </w:r>
      <w:r w:rsidR="00460D21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ales</w:t>
      </w:r>
      <w:r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revenues</w:t>
      </w:r>
      <w:r w:rsidR="00460D21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</w:t>
      </w:r>
      <w:r w:rsidR="008F53F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of KRW 1.61 trillion and an operating profit</w:t>
      </w:r>
      <w:r w:rsidR="005601DA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of KRW 239.8 billion in the fo</w:t>
      </w:r>
      <w:r w:rsidR="00FF7064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u</w:t>
      </w:r>
      <w:r w:rsidR="008F53F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rth quarter of 2016</w:t>
      </w:r>
    </w:p>
    <w:p w14:paraId="3DA0BC91" w14:textId="3E76E90B" w:rsidR="005037DC" w:rsidRPr="00950A55" w:rsidRDefault="005376B1" w:rsidP="00A36415">
      <w:pPr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rightChars="-15" w:right="-30"/>
        <w:rPr>
          <w:rFonts w:ascii="Times New Roman"/>
          <w:b/>
          <w:iCs/>
          <w:color w:val="000000" w:themeColor="text1"/>
          <w:kern w:val="0"/>
          <w:sz w:val="22"/>
          <w:szCs w:val="22"/>
        </w:rPr>
      </w:pPr>
      <w:r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Operating </w:t>
      </w:r>
      <w:r w:rsidR="00AC6C32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p</w:t>
      </w:r>
      <w:r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rofit</w:t>
      </w:r>
      <w:r w:rsidR="00460D21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of </w:t>
      </w:r>
      <w:r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2016 </w:t>
      </w:r>
      <w:r w:rsidR="005C05F6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gr</w:t>
      </w:r>
      <w:r w:rsidR="00AC6C32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ew</w:t>
      </w:r>
      <w:r w:rsidR="0079477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</w:t>
      </w:r>
      <w:r w:rsidR="00B00050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24.7% YoY</w:t>
      </w:r>
      <w:r w:rsidR="00AC6C32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,</w:t>
      </w:r>
      <w:r w:rsidR="0079477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driven </w:t>
      </w:r>
      <w:r w:rsidR="00B00050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by </w:t>
      </w:r>
      <w:r w:rsidR="0079477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successful </w:t>
      </w:r>
      <w:r w:rsidR="00AC6C32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p</w:t>
      </w:r>
      <w:r w:rsidR="00B00050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remium OE </w:t>
      </w:r>
      <w:r w:rsidR="00AC6C32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s</w:t>
      </w:r>
      <w:r w:rsidR="00B00050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upply and </w:t>
      </w:r>
      <w:r w:rsidR="0079477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increased </w:t>
      </w:r>
      <w:r w:rsidR="00C72490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Ultra High Performance T</w:t>
      </w:r>
      <w:r w:rsidR="00AC6C32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y</w:t>
      </w:r>
      <w:r w:rsidR="00C72490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re (</w:t>
      </w:r>
      <w:r w:rsidR="0079477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UHPT</w:t>
      </w:r>
      <w:r w:rsidR="00C72490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)</w:t>
      </w:r>
      <w:r w:rsidR="0079477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sales in </w:t>
      </w:r>
      <w:r w:rsidR="00F8274F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m</w:t>
      </w:r>
      <w:r w:rsidR="0079477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ajor market</w:t>
      </w:r>
      <w:r w:rsidR="00F8274F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s,</w:t>
      </w:r>
      <w:r w:rsidR="00794773" w:rsidRPr="00950A5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especially in Europe and North America.</w:t>
      </w:r>
    </w:p>
    <w:p w14:paraId="5A6ED07B" w14:textId="77777777" w:rsidR="000875D5" w:rsidRPr="00344D69" w:rsidRDefault="000875D5" w:rsidP="009042E3">
      <w:pPr>
        <w:widowControl/>
        <w:wordWrap/>
        <w:autoSpaceDE/>
        <w:autoSpaceDN/>
        <w:snapToGrid w:val="0"/>
        <w:spacing w:line="276" w:lineRule="auto"/>
        <w:ind w:rightChars="-15" w:right="-30"/>
        <w:rPr>
          <w:rFonts w:ascii="Arial" w:hAnsi="Arial" w:cs="Arial"/>
          <w:b/>
          <w:iCs/>
          <w:color w:val="000000" w:themeColor="text1"/>
          <w:kern w:val="0"/>
          <w:sz w:val="24"/>
        </w:rPr>
      </w:pPr>
    </w:p>
    <w:p w14:paraId="6840D54C" w14:textId="24CC0551" w:rsidR="00D221C8" w:rsidRPr="00950A55" w:rsidRDefault="00BC3FA8" w:rsidP="00950A55">
      <w:pPr>
        <w:tabs>
          <w:tab w:val="left" w:pos="1455"/>
        </w:tabs>
        <w:wordWrap/>
        <w:spacing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 w:rsidRPr="00950A55">
        <w:rPr>
          <w:rFonts w:ascii="Times New Roman"/>
          <w:b/>
          <w:i/>
          <w:iCs/>
          <w:color w:val="000000" w:themeColor="text1"/>
          <w:sz w:val="21"/>
          <w:szCs w:val="21"/>
        </w:rPr>
        <w:t>Seoul, Korea</w:t>
      </w:r>
      <w:r w:rsidR="00AC6C32" w:rsidRPr="00950A55">
        <w:rPr>
          <w:rFonts w:ascii="Times New Roman"/>
          <w:b/>
          <w:i/>
          <w:iCs/>
          <w:color w:val="000000" w:themeColor="text1"/>
          <w:sz w:val="21"/>
          <w:szCs w:val="21"/>
        </w:rPr>
        <w:t xml:space="preserve"> / Neu-Isenburg, Germany, February </w:t>
      </w:r>
      <w:r w:rsidR="00EC6383">
        <w:rPr>
          <w:rFonts w:ascii="Times New Roman"/>
          <w:b/>
          <w:i/>
          <w:iCs/>
          <w:color w:val="000000" w:themeColor="text1"/>
          <w:sz w:val="21"/>
          <w:szCs w:val="21"/>
        </w:rPr>
        <w:t>7</w:t>
      </w:r>
      <w:r w:rsidR="00AC6C32" w:rsidRPr="00950A55">
        <w:rPr>
          <w:rFonts w:ascii="Times New Roman"/>
          <w:b/>
          <w:i/>
          <w:iCs/>
          <w:color w:val="000000" w:themeColor="text1"/>
          <w:sz w:val="21"/>
          <w:szCs w:val="21"/>
        </w:rPr>
        <w:t>, 2017</w:t>
      </w:r>
      <w:r w:rsidRPr="00950A55">
        <w:rPr>
          <w:rFonts w:ascii="Times New Roman"/>
          <w:iCs/>
          <w:color w:val="000000" w:themeColor="text1"/>
          <w:sz w:val="21"/>
          <w:szCs w:val="21"/>
        </w:rPr>
        <w:t xml:space="preserve"> </w:t>
      </w:r>
      <w:r w:rsidR="00C40688" w:rsidRPr="00950A55">
        <w:rPr>
          <w:rFonts w:ascii="Times New Roman"/>
          <w:iCs/>
          <w:color w:val="000000" w:themeColor="text1"/>
          <w:sz w:val="21"/>
          <w:szCs w:val="21"/>
        </w:rPr>
        <w:t xml:space="preserve">– 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Hankook </w:t>
      </w:r>
      <w:r w:rsidR="00C1195C">
        <w:rPr>
          <w:rFonts w:ascii="Times New Roman"/>
          <w:iCs/>
          <w:color w:val="000000" w:themeColor="text1"/>
          <w:kern w:val="0"/>
          <w:sz w:val="21"/>
          <w:szCs w:val="21"/>
        </w:rPr>
        <w:t>Tire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announced its</w:t>
      </w:r>
      <w:r w:rsidR="0056042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FC50E9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global 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financial results</w:t>
      </w:r>
      <w:r w:rsidR="0056042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for the fo</w:t>
      </w:r>
      <w:r w:rsidR="00F8274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u</w:t>
      </w:r>
      <w:r w:rsidR="0056042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rth quarter of 2016 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with </w:t>
      </w:r>
      <w:r w:rsidR="0092120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consolidated sales 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of </w:t>
      </w:r>
      <w:r w:rsidR="00994023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KRW 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1.61</w:t>
      </w:r>
      <w:r w:rsidR="005037DC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trillion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7A69DF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(1.295 billion Euro) 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and </w:t>
      </w:r>
      <w:r w:rsidR="00F8274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an 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operating profit of </w:t>
      </w:r>
      <w:r w:rsidR="00994023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KRW </w:t>
      </w:r>
      <w:r w:rsidR="00CE5D17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2</w:t>
      </w:r>
      <w:r w:rsidR="00A3641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39.8</w:t>
      </w:r>
      <w:r w:rsidR="00994023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billion</w:t>
      </w:r>
      <w:r w:rsidR="007A69DF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(192.2 million Euro)</w:t>
      </w:r>
      <w:r w:rsidR="0056042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. </w:t>
      </w:r>
      <w:r w:rsidR="00D221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The company r</w:t>
      </w:r>
      <w:r w:rsidR="0056042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eported </w:t>
      </w:r>
      <w:r w:rsidR="0092120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total</w:t>
      </w:r>
      <w:r w:rsidR="00A617A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92120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sales </w:t>
      </w:r>
      <w:r w:rsidR="00F8274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revenue</w:t>
      </w:r>
      <w:r w:rsidR="00B3595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s</w:t>
      </w:r>
      <w:r w:rsidR="00F8274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D221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of KRW 6.62 trillion</w:t>
      </w:r>
      <w:r w:rsidR="007A69DF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(5.163 billion Euro)</w:t>
      </w:r>
      <w:r w:rsidR="00D221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and </w:t>
      </w:r>
      <w:r w:rsidR="00F8274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an </w:t>
      </w:r>
      <w:r w:rsidR="00D221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operating </w:t>
      </w:r>
      <w:r w:rsidR="0056042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profit of KRW 1.10 trillion </w:t>
      </w:r>
      <w:r w:rsidR="007A69DF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(860.1 million Euro) </w:t>
      </w:r>
      <w:r w:rsidR="0056042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for the </w:t>
      </w:r>
      <w:r w:rsidR="00F8274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total </w:t>
      </w:r>
      <w:r w:rsidR="0056042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fiscal year 2016.</w:t>
      </w:r>
    </w:p>
    <w:p w14:paraId="1A43C3EA" w14:textId="77777777" w:rsidR="00D221C8" w:rsidRPr="00950A55" w:rsidRDefault="00D221C8" w:rsidP="00950A55">
      <w:pPr>
        <w:tabs>
          <w:tab w:val="left" w:pos="1455"/>
        </w:tabs>
        <w:wordWrap/>
        <w:spacing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</w:p>
    <w:p w14:paraId="638E875B" w14:textId="2DC0AAAA" w:rsidR="005C05F6" w:rsidRPr="00950A55" w:rsidRDefault="00106F2A" w:rsidP="00950A55">
      <w:pPr>
        <w:tabs>
          <w:tab w:val="left" w:pos="1455"/>
        </w:tabs>
        <w:wordWrap/>
        <w:spacing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Hankook Tire’s achievement </w:t>
      </w:r>
      <w:proofErr w:type="gramStart"/>
      <w:r w:rsidR="0094578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is </w:t>
      </w:r>
      <w:r w:rsidR="002108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attributed</w:t>
      </w:r>
      <w:proofErr w:type="gramEnd"/>
      <w:r w:rsidR="002108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to continuous </w:t>
      </w:r>
      <w:r w:rsidR="00667BB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OE supply for </w:t>
      </w:r>
      <w:r w:rsidR="002108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model</w:t>
      </w:r>
      <w:r w:rsidR="0094578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s</w:t>
      </w:r>
      <w:r w:rsidR="00667BB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of global premium automobile brands </w:t>
      </w:r>
      <w:r w:rsidR="002108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based on Hankook Tire’s global </w:t>
      </w:r>
      <w:r w:rsidR="0094578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t</w:t>
      </w:r>
      <w:r w:rsidR="002108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op </w:t>
      </w:r>
      <w:r w:rsidR="0094578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t</w:t>
      </w:r>
      <w:r w:rsidR="00667BB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ier </w:t>
      </w:r>
      <w:r w:rsidR="002108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technology and </w:t>
      </w:r>
      <w:r w:rsidR="00667BB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product </w:t>
      </w:r>
      <w:r w:rsidR="002108C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quality</w:t>
      </w:r>
      <w:r w:rsidR="0094578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. 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An i</w:t>
      </w:r>
      <w:r w:rsidR="00667BB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ncreased sales volume</w:t>
      </w:r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D90F33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in the Replacement Tyre (RE) segment, especially 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in the</w:t>
      </w:r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E1A1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Ultra High Performance T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y</w:t>
      </w:r>
      <w:r w:rsidR="003E1A1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re</w:t>
      </w:r>
      <w:r w:rsidR="00C72490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E1A1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(UHPT)</w:t>
      </w:r>
      <w:r w:rsidR="00667BB8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7A69DF">
        <w:rPr>
          <w:rFonts w:ascii="Times New Roman"/>
          <w:iCs/>
          <w:color w:val="000000" w:themeColor="text1"/>
          <w:kern w:val="0"/>
          <w:sz w:val="21"/>
          <w:szCs w:val="21"/>
        </w:rPr>
        <w:t>segment</w:t>
      </w:r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includ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ing</w:t>
      </w:r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15089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sales of 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winter </w:t>
      </w:r>
      <w:proofErr w:type="spellStart"/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tyres</w:t>
      </w:r>
      <w:proofErr w:type="spellEnd"/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in Europe </w:t>
      </w:r>
      <w:r w:rsidR="0094578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added up to 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 </w:t>
      </w:r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consistent upward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trend</w:t>
      </w:r>
      <w:r w:rsidR="00BC660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.</w:t>
      </w:r>
      <w:r w:rsidR="002C00E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Furthermore, </w:t>
      </w:r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Hankook Tire managed to secure </w:t>
      </w:r>
      <w:r w:rsidR="002C00E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balanced</w:t>
      </w:r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growth</w:t>
      </w:r>
      <w:r w:rsidR="002C00E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through </w:t>
      </w:r>
      <w:r w:rsidR="00AE3306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also </w:t>
      </w:r>
      <w:r w:rsidR="002C00E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increasing OE sales in 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the </w:t>
      </w:r>
      <w:r w:rsidR="002C00E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Chin</w:t>
      </w:r>
      <w:r w:rsidR="00B903C3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ese</w:t>
      </w:r>
      <w:r w:rsidR="002C00E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market.</w:t>
      </w:r>
    </w:p>
    <w:p w14:paraId="393AAD80" w14:textId="77777777" w:rsidR="00823811" w:rsidRPr="00950A55" w:rsidRDefault="00823811" w:rsidP="00950A55">
      <w:pPr>
        <w:widowControl/>
        <w:shd w:val="clear" w:color="auto" w:fill="FFFFFF"/>
        <w:wordWrap/>
        <w:autoSpaceDE/>
        <w:autoSpaceDN/>
        <w:spacing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</w:p>
    <w:p w14:paraId="1B1ED13B" w14:textId="7BFA1E20" w:rsidR="00200EAE" w:rsidRPr="00950A55" w:rsidRDefault="002C00EE" w:rsidP="00950A55">
      <w:pPr>
        <w:tabs>
          <w:tab w:val="left" w:pos="1455"/>
        </w:tabs>
        <w:wordWrap/>
        <w:spacing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Especially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, </w:t>
      </w:r>
      <w:r w:rsidR="0015089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revenue from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D24CAC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UHPT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15089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sales </w:t>
      </w:r>
      <w:r w:rsidR="002718F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accounted for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33.5</w:t>
      </w:r>
      <w:r w:rsidR="00B55D9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% of</w:t>
      </w:r>
      <w:r w:rsidR="002718F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the</w:t>
      </w:r>
      <w:r w:rsidR="00B55D9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2718F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total </w:t>
      </w:r>
      <w:r w:rsidR="00B55D94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sales</w:t>
      </w:r>
      <w:r w:rsidR="00B903C3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in the fourth quarter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, 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marking a 0.7</w:t>
      </w:r>
      <w:r w:rsidR="00F2224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% 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increase</w:t>
      </w:r>
      <w:r w:rsidR="00F2224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i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n </w:t>
      </w:r>
      <w:r w:rsidR="00D924D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comparison to the same period of last year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. </w:t>
      </w:r>
      <w:r w:rsidR="002718F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With regard to 2016’s total sales, the </w:t>
      </w:r>
      <w:r w:rsidR="00B43C9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sales </w:t>
      </w:r>
      <w:r w:rsidR="002718F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revenue </w:t>
      </w:r>
      <w:r w:rsidR="00B43C9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of </w:t>
      </w:r>
      <w:r w:rsidR="003C7BFC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UHP</w:t>
      </w:r>
      <w:r w:rsidR="00B43C9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T </w:t>
      </w:r>
      <w:r w:rsidR="00FC50E9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comes to</w:t>
      </w:r>
      <w:r w:rsidR="00B43C9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34.5%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. </w:t>
      </w:r>
    </w:p>
    <w:p w14:paraId="2D80DED2" w14:textId="77777777" w:rsidR="00A57A2D" w:rsidRPr="00950A55" w:rsidRDefault="00A57A2D" w:rsidP="00950A55">
      <w:pPr>
        <w:tabs>
          <w:tab w:val="left" w:pos="1455"/>
        </w:tabs>
        <w:wordWrap/>
        <w:spacing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</w:p>
    <w:p w14:paraId="1CB381A2" w14:textId="7214223F" w:rsidR="00A57A2D" w:rsidRPr="00950A55" w:rsidRDefault="00F6287A" w:rsidP="00950A55">
      <w:pPr>
        <w:tabs>
          <w:tab w:val="left" w:pos="1455"/>
        </w:tabs>
        <w:wordWrap/>
        <w:spacing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With this year’s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goal of 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reaching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FC50E9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global sales revenue</w:t>
      </w:r>
      <w:r w:rsidR="00B234C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s</w:t>
      </w:r>
      <w:r w:rsidR="00FC50E9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of 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KRW 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7.</w:t>
      </w:r>
      <w:r w:rsidR="00F748F3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22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proofErr w:type="gramStart"/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trillion</w:t>
      </w:r>
      <w:proofErr w:type="gramEnd"/>
      <w:r w:rsidR="00F748F3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, Hankook Tire p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lans to focus on expanding </w:t>
      </w:r>
      <w:r w:rsidR="00331C5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sales </w:t>
      </w:r>
      <w:r w:rsidR="00FC50E9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in the</w:t>
      </w:r>
      <w:r w:rsidR="00331C5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0548E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UHPT </w:t>
      </w:r>
      <w:r w:rsidR="00FC50E9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segment </w:t>
      </w:r>
      <w:r w:rsidR="00A6095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as well as in the 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OE </w:t>
      </w:r>
      <w:r w:rsidR="00A6095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segment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for new </w:t>
      </w:r>
      <w:r w:rsidR="00331C5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premium </w:t>
      </w:r>
      <w:r w:rsidR="00A6095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car 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models</w:t>
      </w:r>
      <w:r w:rsidR="00A6095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in order to strengthen its brand value</w:t>
      </w:r>
      <w:r w:rsidR="00331C5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. Moreover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, </w:t>
      </w:r>
      <w:r w:rsidR="00A75C3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the company </w:t>
      </w:r>
      <w:r w:rsidR="002F7B1B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will further enhance </w:t>
      </w:r>
      <w:r w:rsidR="00A75C3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its</w:t>
      </w:r>
      <w:r w:rsidR="002F7B1B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presence in </w:t>
      </w:r>
      <w:r w:rsidR="00A6095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the </w:t>
      </w:r>
      <w:r w:rsidR="002F7B1B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global market through </w:t>
      </w:r>
      <w:r w:rsidR="00830A3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diversifying </w:t>
      </w:r>
      <w:r w:rsidR="00A6095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the </w:t>
      </w:r>
      <w:r w:rsidR="002F7B1B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OE</w:t>
      </w:r>
      <w:r w:rsidR="00830A3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portfolio 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and</w:t>
      </w:r>
      <w:r w:rsidR="00830A3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A75C3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optimizing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830A3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each</w:t>
      </w:r>
      <w:r w:rsidR="00A75C3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regional distributi</w:t>
      </w:r>
      <w:r w:rsidR="00830A3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on strategy</w:t>
      </w:r>
      <w:r w:rsidR="00A57A2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. </w:t>
      </w:r>
    </w:p>
    <w:p w14:paraId="18AE45AA" w14:textId="77777777" w:rsidR="00200EAE" w:rsidRPr="00950A55" w:rsidRDefault="00200EAE" w:rsidP="00950A55">
      <w:pPr>
        <w:widowControl/>
        <w:shd w:val="clear" w:color="auto" w:fill="FFFFFF"/>
        <w:wordWrap/>
        <w:autoSpaceDE/>
        <w:autoSpaceDN/>
        <w:spacing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</w:p>
    <w:p w14:paraId="70B35888" w14:textId="549686F4" w:rsidR="0007704F" w:rsidRPr="00344D69" w:rsidRDefault="00200EAE" w:rsidP="00950A55">
      <w:pPr>
        <w:tabs>
          <w:tab w:val="left" w:pos="1455"/>
        </w:tabs>
        <w:wordWrap/>
        <w:spacing w:line="276" w:lineRule="auto"/>
        <w:rPr>
          <w:rFonts w:ascii="Arial" w:hAnsi="Arial" w:cs="Arial"/>
          <w:iCs/>
          <w:color w:val="000000" w:themeColor="text1"/>
          <w:kern w:val="0"/>
          <w:sz w:val="24"/>
        </w:rPr>
      </w:pP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As a premium brand that </w:t>
      </w:r>
      <w:r w:rsidR="0086444D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provides 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the opportunit</w:t>
      </w:r>
      <w:r w:rsidR="00F9558F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y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of high-technology experience </w:t>
      </w:r>
      <w:r w:rsidR="00790CA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based 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on</w:t>
      </w:r>
      <w:r w:rsidR="00A63D4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an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790CA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innovative corporate culture</w:t>
      </w:r>
      <w:r w:rsidR="00A3641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,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790CA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Hankook Tire will also continue to accelerate </w:t>
      </w:r>
      <w:r w:rsidR="00830A3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its business growth </w:t>
      </w:r>
      <w:r w:rsidR="00A63D4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and to strengthen its leadership in technology through a</w:t>
      </w:r>
      <w:r w:rsidR="00790CA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working </w:t>
      </w:r>
      <w:r w:rsidR="00A63D4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environment that fosters innovation power and creativity.</w:t>
      </w:r>
      <w:r w:rsidR="002A6543">
        <w:rPr>
          <w:rFonts w:ascii="Arial" w:hAnsi="Arial" w:cs="Arial"/>
          <w:iCs/>
          <w:color w:val="000000" w:themeColor="text1"/>
          <w:kern w:val="0"/>
          <w:sz w:val="24"/>
        </w:rPr>
        <w:t xml:space="preserve"> </w:t>
      </w:r>
    </w:p>
    <w:p w14:paraId="336529D1" w14:textId="7DBCB4DA" w:rsidR="00200EAE" w:rsidRPr="00A76580" w:rsidRDefault="00696E35" w:rsidP="00A76580">
      <w:pPr>
        <w:widowControl/>
        <w:shd w:val="clear" w:color="auto" w:fill="FFFFFF"/>
        <w:wordWrap/>
        <w:autoSpaceDE/>
        <w:autoSpaceDN/>
        <w:jc w:val="center"/>
        <w:rPr>
          <w:rFonts w:ascii="Times New Roman"/>
          <w:iCs/>
          <w:color w:val="000000" w:themeColor="text1"/>
          <w:kern w:val="0"/>
          <w:sz w:val="21"/>
          <w:szCs w:val="21"/>
        </w:rPr>
      </w:pP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###</w:t>
      </w:r>
    </w:p>
    <w:p w14:paraId="107C2C4A" w14:textId="77777777" w:rsidR="004041F4" w:rsidRPr="00950A55" w:rsidRDefault="004041F4" w:rsidP="004041F4">
      <w:pPr>
        <w:wordWrap/>
        <w:snapToGrid w:val="0"/>
        <w:spacing w:line="276" w:lineRule="auto"/>
        <w:ind w:rightChars="56" w:right="112" w:firstLineChars="50" w:firstLine="118"/>
        <w:rPr>
          <w:rFonts w:ascii="Arial" w:hAnsi="Arial" w:cs="Arial"/>
          <w:b/>
          <w:kern w:val="0"/>
          <w:sz w:val="24"/>
        </w:rPr>
      </w:pPr>
      <w:r w:rsidRPr="00950A55">
        <w:rPr>
          <w:rFonts w:ascii="Arial" w:hAnsi="Arial" w:cs="Arial" w:hint="eastAsia"/>
          <w:b/>
          <w:kern w:val="0"/>
          <w:sz w:val="24"/>
        </w:rPr>
        <w:lastRenderedPageBreak/>
        <w:t xml:space="preserve">Q4 </w:t>
      </w:r>
      <w:r w:rsidRPr="00950A55">
        <w:rPr>
          <w:rFonts w:ascii="Arial" w:hAnsi="Arial" w:cs="Arial"/>
          <w:b/>
          <w:kern w:val="0"/>
          <w:sz w:val="24"/>
        </w:rPr>
        <w:t>201</w:t>
      </w:r>
      <w:r w:rsidRPr="00950A55">
        <w:rPr>
          <w:rFonts w:ascii="Arial" w:hAnsi="Arial" w:cs="Arial" w:hint="eastAsia"/>
          <w:b/>
          <w:kern w:val="0"/>
          <w:sz w:val="24"/>
        </w:rPr>
        <w:t>6</w:t>
      </w:r>
      <w:r w:rsidRPr="00950A55">
        <w:rPr>
          <w:rFonts w:ascii="Arial" w:hAnsi="Arial" w:cs="Arial"/>
          <w:b/>
          <w:kern w:val="0"/>
          <w:sz w:val="24"/>
        </w:rPr>
        <w:t xml:space="preserve"> Consolidated Financial Result</w:t>
      </w:r>
    </w:p>
    <w:tbl>
      <w:tblPr>
        <w:tblStyle w:val="Tabellenraster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406"/>
        <w:gridCol w:w="2291"/>
        <w:gridCol w:w="2389"/>
      </w:tblGrid>
      <w:tr w:rsidR="004041F4" w:rsidRPr="003A723F" w14:paraId="6B3480A1" w14:textId="77777777" w:rsidTr="00636C4D">
        <w:trPr>
          <w:trHeight w:val="362"/>
        </w:trPr>
        <w:tc>
          <w:tcPr>
            <w:tcW w:w="22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6BBC3E4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(Unit: Billion KRW)</w:t>
            </w:r>
          </w:p>
        </w:tc>
        <w:tc>
          <w:tcPr>
            <w:tcW w:w="26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C56AD5C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Q4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5</w:t>
            </w:r>
          </w:p>
        </w:tc>
        <w:tc>
          <w:tcPr>
            <w:tcW w:w="25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544590B7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Q3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</w:p>
        </w:tc>
        <w:tc>
          <w:tcPr>
            <w:tcW w:w="2621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0BCDA4B6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Q4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</w:p>
        </w:tc>
      </w:tr>
      <w:tr w:rsidR="004041F4" w:rsidRPr="003A723F" w14:paraId="207FC41D" w14:textId="77777777" w:rsidTr="00636C4D">
        <w:trPr>
          <w:trHeight w:val="362"/>
        </w:trPr>
        <w:tc>
          <w:tcPr>
            <w:tcW w:w="22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378843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Sales</w:t>
            </w:r>
          </w:p>
        </w:tc>
        <w:tc>
          <w:tcPr>
            <w:tcW w:w="26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5736235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</w:rPr>
              <w:t>1,596.5</w:t>
            </w:r>
          </w:p>
        </w:tc>
        <w:tc>
          <w:tcPr>
            <w:tcW w:w="25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8B6C5D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1,657.6</w:t>
            </w:r>
          </w:p>
        </w:tc>
        <w:tc>
          <w:tcPr>
            <w:tcW w:w="2621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7DC8EED8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</w:rPr>
              <w:t>1,</w:t>
            </w:r>
            <w:r w:rsidRPr="00B5156C">
              <w:rPr>
                <w:rFonts w:ascii="Arial" w:hAnsi="Arial" w:cs="Arial"/>
                <w:b/>
                <w:color w:val="000000" w:themeColor="text1"/>
              </w:rPr>
              <w:t>615.0</w:t>
            </w:r>
          </w:p>
        </w:tc>
      </w:tr>
      <w:tr w:rsidR="004041F4" w:rsidRPr="003A723F" w14:paraId="19C414A8" w14:textId="77777777" w:rsidTr="00636C4D">
        <w:trPr>
          <w:trHeight w:val="362"/>
        </w:trPr>
        <w:tc>
          <w:tcPr>
            <w:tcW w:w="2298" w:type="dxa"/>
            <w:tcBorders>
              <w:right w:val="double" w:sz="4" w:space="0" w:color="auto"/>
            </w:tcBorders>
            <w:vAlign w:val="center"/>
          </w:tcPr>
          <w:p w14:paraId="609358E3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Operating Profit</w:t>
            </w:r>
          </w:p>
        </w:tc>
        <w:tc>
          <w:tcPr>
            <w:tcW w:w="2641" w:type="dxa"/>
            <w:tcBorders>
              <w:right w:val="double" w:sz="4" w:space="0" w:color="auto"/>
            </w:tcBorders>
            <w:shd w:val="clear" w:color="auto" w:fill="auto"/>
          </w:tcPr>
          <w:p w14:paraId="0FC5D9D4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</w:rPr>
              <w:t>239.1</w:t>
            </w:r>
          </w:p>
        </w:tc>
        <w:tc>
          <w:tcPr>
            <w:tcW w:w="2508" w:type="dxa"/>
            <w:tcBorders>
              <w:right w:val="double" w:sz="4" w:space="0" w:color="auto"/>
            </w:tcBorders>
            <w:vAlign w:val="center"/>
          </w:tcPr>
          <w:p w14:paraId="344259EE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302.6</w:t>
            </w:r>
          </w:p>
        </w:tc>
        <w:tc>
          <w:tcPr>
            <w:tcW w:w="2621" w:type="dxa"/>
            <w:tcBorders>
              <w:left w:val="double" w:sz="4" w:space="0" w:color="auto"/>
              <w:right w:val="nil"/>
            </w:tcBorders>
          </w:tcPr>
          <w:p w14:paraId="7080D6F9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</w:rPr>
              <w:t>2</w:t>
            </w:r>
            <w:r w:rsidRPr="00B5156C">
              <w:rPr>
                <w:rFonts w:ascii="Arial" w:hAnsi="Arial" w:cs="Arial"/>
                <w:b/>
                <w:color w:val="000000" w:themeColor="text1"/>
              </w:rPr>
              <w:t>39</w:t>
            </w:r>
            <w:r w:rsidRPr="00B5156C">
              <w:rPr>
                <w:rFonts w:ascii="Arial" w:hAnsi="Arial" w:cs="Arial" w:hint="eastAsia"/>
                <w:b/>
                <w:color w:val="000000" w:themeColor="text1"/>
              </w:rPr>
              <w:t>.</w:t>
            </w:r>
            <w:r w:rsidRPr="00B5156C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</w:tr>
    </w:tbl>
    <w:p w14:paraId="125930CC" w14:textId="77777777" w:rsidR="004041F4" w:rsidRPr="003A723F" w:rsidRDefault="004041F4" w:rsidP="004041F4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2393"/>
        <w:gridCol w:w="2301"/>
        <w:gridCol w:w="2394"/>
      </w:tblGrid>
      <w:tr w:rsidR="004041F4" w:rsidRPr="003A723F" w14:paraId="08066E2F" w14:textId="77777777" w:rsidTr="00636C4D">
        <w:trPr>
          <w:trHeight w:val="363"/>
        </w:trPr>
        <w:tc>
          <w:tcPr>
            <w:tcW w:w="22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2B1CBB1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(Unit: Million USD)</w:t>
            </w:r>
          </w:p>
        </w:tc>
        <w:tc>
          <w:tcPr>
            <w:tcW w:w="26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79E00702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Q4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5</w:t>
            </w: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2279E366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Q3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</w:p>
        </w:tc>
        <w:tc>
          <w:tcPr>
            <w:tcW w:w="262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39157A6D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Q4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</w:p>
        </w:tc>
      </w:tr>
      <w:tr w:rsidR="004041F4" w:rsidRPr="003A723F" w14:paraId="4DE9BE9B" w14:textId="77777777" w:rsidTr="00636C4D">
        <w:trPr>
          <w:trHeight w:val="363"/>
        </w:trPr>
        <w:tc>
          <w:tcPr>
            <w:tcW w:w="22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BDB898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Sales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5F8FE8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1,379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0BEAE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1,478.1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3FD562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  <w:szCs w:val="22"/>
              </w:rPr>
              <w:t>1,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395</w:t>
            </w:r>
            <w:r w:rsidRPr="00B5156C">
              <w:rPr>
                <w:rFonts w:ascii="Arial" w:hAnsi="Arial" w:cs="Arial" w:hint="eastAsia"/>
                <w:b/>
                <w:color w:val="000000" w:themeColor="text1"/>
                <w:szCs w:val="22"/>
              </w:rPr>
              <w:t>.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</w:p>
        </w:tc>
      </w:tr>
      <w:tr w:rsidR="004041F4" w:rsidRPr="003A723F" w14:paraId="5F341759" w14:textId="77777777" w:rsidTr="00636C4D">
        <w:trPr>
          <w:trHeight w:val="363"/>
        </w:trPr>
        <w:tc>
          <w:tcPr>
            <w:tcW w:w="22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422E61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Operating Profit</w:t>
            </w:r>
          </w:p>
        </w:tc>
        <w:tc>
          <w:tcPr>
            <w:tcW w:w="2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A128F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206.5</w:t>
            </w: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6D131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269.8</w:t>
            </w:r>
          </w:p>
        </w:tc>
        <w:tc>
          <w:tcPr>
            <w:tcW w:w="262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B40517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  <w:kern w:val="0"/>
                <w:szCs w:val="22"/>
              </w:rPr>
              <w:t>2</w:t>
            </w: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07</w:t>
            </w:r>
            <w:r w:rsidRPr="00B5156C">
              <w:rPr>
                <w:rFonts w:ascii="Arial" w:hAnsi="Arial" w:cs="Arial" w:hint="eastAsia"/>
                <w:b/>
                <w:color w:val="000000" w:themeColor="text1"/>
                <w:kern w:val="0"/>
                <w:szCs w:val="22"/>
              </w:rPr>
              <w:t>.1</w:t>
            </w:r>
          </w:p>
        </w:tc>
      </w:tr>
      <w:tr w:rsidR="004041F4" w:rsidRPr="003A723F" w14:paraId="2F25BB7C" w14:textId="77777777" w:rsidTr="00636C4D">
        <w:trPr>
          <w:trHeight w:val="363"/>
        </w:trPr>
        <w:tc>
          <w:tcPr>
            <w:tcW w:w="229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0A2EC" w14:textId="77777777" w:rsidR="004041F4" w:rsidRPr="003A723F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71FA9" w14:textId="77777777" w:rsidR="004041F4" w:rsidRPr="003A723F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66DD6" w14:textId="77777777" w:rsidR="004041F4" w:rsidRPr="008D569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E0839C" w14:textId="77777777" w:rsidR="004041F4" w:rsidRPr="003A723F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041F4" w:rsidRPr="003A723F" w14:paraId="4DD45440" w14:textId="77777777" w:rsidTr="00636C4D">
        <w:trPr>
          <w:trHeight w:val="363"/>
        </w:trPr>
        <w:tc>
          <w:tcPr>
            <w:tcW w:w="229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55964648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(Unit: Million EUR)</w:t>
            </w:r>
          </w:p>
        </w:tc>
        <w:tc>
          <w:tcPr>
            <w:tcW w:w="26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011327E1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Q4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56ED8F8B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Q3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</w:p>
        </w:tc>
        <w:tc>
          <w:tcPr>
            <w:tcW w:w="262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72A8B929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Q4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</w:p>
        </w:tc>
      </w:tr>
      <w:tr w:rsidR="004041F4" w:rsidRPr="003A723F" w14:paraId="6A942ED0" w14:textId="77777777" w:rsidTr="00636C4D">
        <w:trPr>
          <w:trHeight w:val="363"/>
        </w:trPr>
        <w:tc>
          <w:tcPr>
            <w:tcW w:w="22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B10CEA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Sales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495BE7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1,259.5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57802A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1,324.9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</w:tcPr>
          <w:p w14:paraId="40DC9D88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1,295.0</w:t>
            </w:r>
          </w:p>
        </w:tc>
      </w:tr>
      <w:tr w:rsidR="004041F4" w:rsidRPr="003A723F" w14:paraId="6A5667D3" w14:textId="77777777" w:rsidTr="00636C4D">
        <w:trPr>
          <w:trHeight w:val="363"/>
        </w:trPr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14:paraId="51D4DB8C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Operating Profit</w:t>
            </w:r>
          </w:p>
        </w:tc>
        <w:tc>
          <w:tcPr>
            <w:tcW w:w="26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F7589B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188.6</w:t>
            </w: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0F2ED7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241.8</w:t>
            </w:r>
          </w:p>
        </w:tc>
        <w:tc>
          <w:tcPr>
            <w:tcW w:w="2627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14:paraId="7284C3BF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192</w:t>
            </w:r>
            <w:r w:rsidRPr="00B5156C">
              <w:rPr>
                <w:rFonts w:ascii="Arial" w:hAnsi="Arial" w:cs="Arial" w:hint="eastAsia"/>
                <w:b/>
                <w:color w:val="000000" w:themeColor="text1"/>
                <w:szCs w:val="22"/>
              </w:rPr>
              <w:t>.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</w:p>
        </w:tc>
      </w:tr>
    </w:tbl>
    <w:p w14:paraId="0FDA0A28" w14:textId="77777777" w:rsidR="004041F4" w:rsidRPr="003A723F" w:rsidRDefault="004041F4" w:rsidP="004041F4">
      <w:pPr>
        <w:wordWrap/>
        <w:snapToGrid w:val="0"/>
        <w:spacing w:line="276" w:lineRule="auto"/>
        <w:ind w:leftChars="71" w:left="142" w:rightChars="56" w:right="112"/>
        <w:rPr>
          <w:rFonts w:ascii="Arial" w:hAnsi="Arial" w:cs="Arial"/>
          <w:color w:val="000000" w:themeColor="text1"/>
          <w:kern w:val="0"/>
          <w:sz w:val="22"/>
          <w:szCs w:val="22"/>
        </w:rPr>
      </w:pPr>
    </w:p>
    <w:p w14:paraId="3AC467B7" w14:textId="77777777" w:rsidR="004041F4" w:rsidRPr="00950A55" w:rsidRDefault="004041F4" w:rsidP="004041F4">
      <w:pPr>
        <w:wordWrap/>
        <w:snapToGrid w:val="0"/>
        <w:spacing w:line="276" w:lineRule="auto"/>
        <w:ind w:leftChars="71" w:left="142" w:rightChars="56" w:right="112"/>
        <w:rPr>
          <w:rFonts w:ascii="Arial" w:hAnsi="Arial" w:cs="Arial"/>
          <w:b/>
          <w:i/>
          <w:color w:val="000000" w:themeColor="text1"/>
          <w:kern w:val="0"/>
          <w:szCs w:val="20"/>
        </w:rPr>
      </w:pPr>
      <w:r w:rsidRPr="00950A55">
        <w:rPr>
          <w:rFonts w:ascii="Arial" w:hAnsi="Arial" w:cs="Arial"/>
          <w:b/>
          <w:i/>
          <w:color w:val="000000" w:themeColor="text1"/>
          <w:kern w:val="0"/>
          <w:szCs w:val="20"/>
        </w:rPr>
        <w:t>*Exchange Rates:</w:t>
      </w:r>
    </w:p>
    <w:tbl>
      <w:tblPr>
        <w:tblStyle w:val="Tabellenraster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557"/>
        <w:gridCol w:w="2231"/>
        <w:gridCol w:w="2439"/>
      </w:tblGrid>
      <w:tr w:rsidR="004041F4" w:rsidRPr="003A723F" w14:paraId="6F3CCF1E" w14:textId="77777777" w:rsidTr="00636C4D">
        <w:trPr>
          <w:trHeight w:val="363"/>
        </w:trPr>
        <w:tc>
          <w:tcPr>
            <w:tcW w:w="22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1BCBA063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</w:p>
        </w:tc>
        <w:tc>
          <w:tcPr>
            <w:tcW w:w="2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6DD4C5B0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Q4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5</w:t>
            </w: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14:paraId="16B0D4F8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Q3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</w:p>
        </w:tc>
        <w:tc>
          <w:tcPr>
            <w:tcW w:w="2656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18E6F474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 xml:space="preserve">Q4 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FY 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</w:p>
        </w:tc>
      </w:tr>
      <w:tr w:rsidR="004041F4" w:rsidRPr="003A723F" w14:paraId="663926A1" w14:textId="77777777" w:rsidTr="00636C4D">
        <w:trPr>
          <w:trHeight w:val="363"/>
        </w:trPr>
        <w:tc>
          <w:tcPr>
            <w:tcW w:w="22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E2AEF5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USD / KRW</w:t>
            </w:r>
          </w:p>
        </w:tc>
        <w:tc>
          <w:tcPr>
            <w:tcW w:w="2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5EA6A0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1,157.69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2B15C1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  <w:szCs w:val="22"/>
              </w:rPr>
              <w:t>1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,121.37</w:t>
            </w: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0EEE477C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  <w:szCs w:val="22"/>
              </w:rPr>
              <w:t>1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,157.37</w:t>
            </w:r>
          </w:p>
        </w:tc>
      </w:tr>
      <w:tr w:rsidR="004041F4" w:rsidRPr="003A723F" w14:paraId="537A1533" w14:textId="77777777" w:rsidTr="00636C4D">
        <w:trPr>
          <w:trHeight w:val="363"/>
        </w:trPr>
        <w:tc>
          <w:tcPr>
            <w:tcW w:w="2203" w:type="dxa"/>
            <w:tcBorders>
              <w:right w:val="double" w:sz="4" w:space="0" w:color="auto"/>
            </w:tcBorders>
            <w:vAlign w:val="center"/>
          </w:tcPr>
          <w:p w14:paraId="398BCC60" w14:textId="77777777" w:rsidR="004041F4" w:rsidRPr="00B5156C" w:rsidRDefault="004041F4" w:rsidP="00636C4D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EUR / KRW</w:t>
            </w:r>
          </w:p>
        </w:tc>
        <w:tc>
          <w:tcPr>
            <w:tcW w:w="2792" w:type="dxa"/>
            <w:tcBorders>
              <w:left w:val="double" w:sz="4" w:space="0" w:color="auto"/>
              <w:right w:val="double" w:sz="4" w:space="0" w:color="auto"/>
            </w:tcBorders>
          </w:tcPr>
          <w:p w14:paraId="432C4934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1,267.57</w:t>
            </w:r>
          </w:p>
        </w:tc>
        <w:tc>
          <w:tcPr>
            <w:tcW w:w="2417" w:type="dxa"/>
            <w:tcBorders>
              <w:left w:val="double" w:sz="4" w:space="0" w:color="auto"/>
              <w:right w:val="double" w:sz="4" w:space="0" w:color="auto"/>
            </w:tcBorders>
          </w:tcPr>
          <w:p w14:paraId="150130ED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1,251.04</w:t>
            </w:r>
          </w:p>
        </w:tc>
        <w:tc>
          <w:tcPr>
            <w:tcW w:w="2656" w:type="dxa"/>
            <w:tcBorders>
              <w:left w:val="double" w:sz="4" w:space="0" w:color="auto"/>
              <w:right w:val="nil"/>
            </w:tcBorders>
          </w:tcPr>
          <w:p w14:paraId="69BEB030" w14:textId="77777777" w:rsidR="004041F4" w:rsidRPr="00B5156C" w:rsidRDefault="004041F4" w:rsidP="00636C4D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1,247.02</w:t>
            </w:r>
          </w:p>
        </w:tc>
      </w:tr>
    </w:tbl>
    <w:p w14:paraId="574260CA" w14:textId="77777777" w:rsidR="004041F4" w:rsidRDefault="004041F4" w:rsidP="004041F4">
      <w:pPr>
        <w:widowControl/>
        <w:wordWrap/>
        <w:autoSpaceDE/>
        <w:autoSpaceDN/>
        <w:spacing w:line="207" w:lineRule="atLeast"/>
        <w:ind w:right="112" w:firstLine="108"/>
        <w:jc w:val="left"/>
        <w:rPr>
          <w:rFonts w:ascii="Arial" w:eastAsia="Malgun Gothic" w:hAnsi="Arial" w:cs="Arial"/>
          <w:b/>
          <w:bCs/>
          <w:color w:val="000000" w:themeColor="text1"/>
          <w:kern w:val="0"/>
          <w:sz w:val="22"/>
          <w:szCs w:val="22"/>
          <w:shd w:val="clear" w:color="auto" w:fill="FFFFFF"/>
        </w:rPr>
      </w:pPr>
    </w:p>
    <w:p w14:paraId="28880225" w14:textId="77777777" w:rsidR="004041F4" w:rsidRPr="00950A55" w:rsidRDefault="004041F4" w:rsidP="004041F4">
      <w:pPr>
        <w:widowControl/>
        <w:wordWrap/>
        <w:autoSpaceDE/>
        <w:autoSpaceDN/>
        <w:spacing w:line="207" w:lineRule="atLeast"/>
        <w:ind w:right="112" w:firstLine="108"/>
        <w:jc w:val="left"/>
        <w:rPr>
          <w:rFonts w:ascii="Malgun Gothic" w:eastAsia="Malgun Gothic" w:hAnsi="Malgun Gothic" w:cs="Gulim"/>
          <w:color w:val="000000" w:themeColor="text1"/>
          <w:kern w:val="0"/>
          <w:sz w:val="24"/>
          <w:shd w:val="clear" w:color="auto" w:fill="FFFFFF" w:themeFill="background1"/>
        </w:rPr>
      </w:pPr>
      <w:proofErr w:type="gramStart"/>
      <w:r w:rsidRPr="00950A55">
        <w:rPr>
          <w:rFonts w:ascii="Arial" w:eastAsia="Malgun Gothic" w:hAnsi="Arial" w:cs="Arial"/>
          <w:b/>
          <w:bCs/>
          <w:color w:val="000000" w:themeColor="text1"/>
          <w:kern w:val="0"/>
          <w:sz w:val="24"/>
          <w:shd w:val="clear" w:color="auto" w:fill="FFFFFF" w:themeFill="background1"/>
        </w:rPr>
        <w:t>2016</w:t>
      </w:r>
      <w:proofErr w:type="gramEnd"/>
      <w:r w:rsidRPr="00950A55">
        <w:rPr>
          <w:rFonts w:ascii="Arial" w:eastAsia="Malgun Gothic" w:hAnsi="Arial" w:cs="Arial"/>
          <w:b/>
          <w:bCs/>
          <w:color w:val="000000" w:themeColor="text1"/>
          <w:kern w:val="0"/>
          <w:sz w:val="24"/>
          <w:shd w:val="clear" w:color="auto" w:fill="FFFFFF" w:themeFill="background1"/>
        </w:rPr>
        <w:t xml:space="preserve"> Consolidated Financial Result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090"/>
        <w:gridCol w:w="3090"/>
      </w:tblGrid>
      <w:tr w:rsidR="004041F4" w:rsidRPr="002B32A6" w14:paraId="4D2C6AA0" w14:textId="77777777" w:rsidTr="00636C4D">
        <w:trPr>
          <w:trHeight w:val="362"/>
        </w:trPr>
        <w:tc>
          <w:tcPr>
            <w:tcW w:w="25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14:paraId="04C71A57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(Unit: Billion KRW)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14:paraId="654A275D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FY 2015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7F7F7F"/>
            <w:vAlign w:val="center"/>
            <w:hideMark/>
          </w:tcPr>
          <w:p w14:paraId="68D4F79F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FY 2016</w:t>
            </w:r>
          </w:p>
        </w:tc>
      </w:tr>
      <w:tr w:rsidR="004041F4" w:rsidRPr="002B32A6" w14:paraId="02E26164" w14:textId="77777777" w:rsidTr="00636C4D">
        <w:trPr>
          <w:trHeight w:val="362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034A20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kern w:val="0"/>
                <w:szCs w:val="22"/>
              </w:rPr>
              <w:t>Sales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3F8AD5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6,428.2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BE0C15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6,626.1</w:t>
            </w:r>
          </w:p>
        </w:tc>
      </w:tr>
      <w:tr w:rsidR="004041F4" w:rsidRPr="002B32A6" w14:paraId="0803321E" w14:textId="77777777" w:rsidTr="00636C4D">
        <w:trPr>
          <w:trHeight w:val="362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BEF20D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kern w:val="0"/>
                <w:szCs w:val="22"/>
              </w:rPr>
              <w:t>Operating Profit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58A375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885.0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4839BF7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1,103.8</w:t>
            </w:r>
          </w:p>
        </w:tc>
      </w:tr>
    </w:tbl>
    <w:p w14:paraId="7DA66523" w14:textId="77777777" w:rsidR="004041F4" w:rsidRPr="002B32A6" w:rsidRDefault="004041F4" w:rsidP="004041F4">
      <w:pPr>
        <w:widowControl/>
        <w:wordWrap/>
        <w:autoSpaceDE/>
        <w:autoSpaceDN/>
        <w:jc w:val="left"/>
        <w:rPr>
          <w:rFonts w:ascii="Gulim" w:eastAsia="Gulim" w:hAnsi="Gulim" w:cs="Gulim"/>
          <w:kern w:val="0"/>
          <w:sz w:val="24"/>
        </w:rPr>
      </w:pPr>
      <w:r w:rsidRPr="002B32A6">
        <w:rPr>
          <w:rFonts w:ascii="Arial" w:eastAsia="Malgun Gothic" w:hAnsi="Arial" w:cs="Arial"/>
          <w:color w:val="500050"/>
          <w:kern w:val="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4041F4" w:rsidRPr="002B32A6" w14:paraId="561C1102" w14:textId="77777777" w:rsidTr="00636C4D">
        <w:trPr>
          <w:trHeight w:val="363"/>
        </w:trPr>
        <w:tc>
          <w:tcPr>
            <w:tcW w:w="25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14:paraId="7382F16A" w14:textId="77777777" w:rsidR="004041F4" w:rsidRPr="002B32A6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 w:val="18"/>
                <w:szCs w:val="18"/>
              </w:rPr>
            </w:pPr>
            <w:r w:rsidRPr="002B32A6">
              <w:rPr>
                <w:rFonts w:ascii="Arial" w:eastAsia="Malgun Gothic" w:hAnsi="Arial" w:cs="Arial"/>
                <w:b/>
                <w:bCs/>
                <w:color w:val="FFFFFF"/>
                <w:kern w:val="0"/>
                <w:sz w:val="22"/>
                <w:szCs w:val="22"/>
              </w:rPr>
              <w:t>(Unit: Million USD)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14:paraId="01745989" w14:textId="77777777" w:rsidR="004041F4" w:rsidRPr="002B32A6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 w:val="18"/>
                <w:szCs w:val="18"/>
              </w:rPr>
            </w:pPr>
            <w:r w:rsidRPr="002B32A6">
              <w:rPr>
                <w:rFonts w:ascii="Arial" w:eastAsia="Malgun Gothic" w:hAnsi="Arial" w:cs="Arial"/>
                <w:b/>
                <w:bCs/>
                <w:color w:val="FFFFFF"/>
                <w:kern w:val="0"/>
                <w:sz w:val="22"/>
                <w:szCs w:val="22"/>
              </w:rPr>
              <w:t>FY 2015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7F7F7F"/>
            <w:vAlign w:val="center"/>
            <w:hideMark/>
          </w:tcPr>
          <w:p w14:paraId="679B9124" w14:textId="77777777" w:rsidR="004041F4" w:rsidRPr="002B32A6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 w:val="18"/>
                <w:szCs w:val="18"/>
              </w:rPr>
            </w:pPr>
            <w:r w:rsidRPr="002B32A6">
              <w:rPr>
                <w:rFonts w:ascii="Arial" w:eastAsia="Malgun Gothic" w:hAnsi="Arial" w:cs="Arial"/>
                <w:b/>
                <w:bCs/>
                <w:color w:val="FFFFFF"/>
                <w:kern w:val="0"/>
                <w:sz w:val="22"/>
                <w:szCs w:val="22"/>
              </w:rPr>
              <w:t>FY 2016</w:t>
            </w:r>
          </w:p>
        </w:tc>
      </w:tr>
      <w:tr w:rsidR="004041F4" w:rsidRPr="002B32A6" w14:paraId="6D87D53A" w14:textId="77777777" w:rsidTr="00636C4D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C5537E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Cs w:val="18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222222"/>
                <w:kern w:val="0"/>
                <w:szCs w:val="22"/>
              </w:rPr>
              <w:t>Sales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6620D37A" w14:textId="77777777" w:rsidR="004041F4" w:rsidRPr="00B5156C" w:rsidRDefault="004041F4" w:rsidP="00636C4D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000000" w:themeColor="text1"/>
                <w:kern w:val="0"/>
                <w:szCs w:val="18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5,681.1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5DCCD5" w14:textId="77777777" w:rsidR="004041F4" w:rsidRPr="00B5156C" w:rsidRDefault="004041F4" w:rsidP="00636C4D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000000" w:themeColor="text1"/>
                <w:kern w:val="0"/>
                <w:szCs w:val="18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5,709.6</w:t>
            </w:r>
          </w:p>
        </w:tc>
      </w:tr>
      <w:tr w:rsidR="004041F4" w:rsidRPr="002B32A6" w14:paraId="72E6EE28" w14:textId="77777777" w:rsidTr="00636C4D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0C07B6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Cs w:val="18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222222"/>
                <w:kern w:val="0"/>
                <w:szCs w:val="22"/>
              </w:rPr>
              <w:t>Operating 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14:paraId="5B908B7C" w14:textId="77777777" w:rsidR="004041F4" w:rsidRPr="00B5156C" w:rsidRDefault="004041F4" w:rsidP="00636C4D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000000" w:themeColor="text1"/>
                <w:kern w:val="0"/>
                <w:szCs w:val="18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782.1.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34400FE" w14:textId="77777777" w:rsidR="004041F4" w:rsidRPr="00B5156C" w:rsidRDefault="004041F4" w:rsidP="00636C4D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000000" w:themeColor="text1"/>
                <w:kern w:val="0"/>
                <w:szCs w:val="18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951.1</w:t>
            </w:r>
          </w:p>
        </w:tc>
      </w:tr>
    </w:tbl>
    <w:p w14:paraId="204B653A" w14:textId="77777777" w:rsidR="004041F4" w:rsidRPr="002B32A6" w:rsidRDefault="004041F4" w:rsidP="004041F4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Malgun Gothic" w:eastAsia="Malgun Gothic" w:hAnsi="Malgun Gothic" w:cs="Gulim"/>
          <w:color w:val="500050"/>
          <w:kern w:val="0"/>
          <w:sz w:val="18"/>
          <w:szCs w:val="18"/>
          <w:shd w:val="clear" w:color="auto" w:fill="FFFFFF"/>
        </w:rPr>
      </w:pPr>
      <w:r w:rsidRPr="002B32A6">
        <w:rPr>
          <w:rFonts w:ascii="Arial" w:eastAsia="Malgun Gothic" w:hAnsi="Arial" w:cs="Arial"/>
          <w:color w:val="500050"/>
          <w:kern w:val="0"/>
          <w:sz w:val="22"/>
          <w:szCs w:val="22"/>
          <w:shd w:val="clear" w:color="auto" w:fill="FFFFFF"/>
        </w:rPr>
        <w:t> 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4041F4" w:rsidRPr="002B32A6" w14:paraId="13581AE1" w14:textId="77777777" w:rsidTr="00636C4D">
        <w:trPr>
          <w:trHeight w:val="363"/>
        </w:trPr>
        <w:tc>
          <w:tcPr>
            <w:tcW w:w="25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14:paraId="07771CBE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(Unit: Million EUR)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14:paraId="7F96611D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FY 2015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7F7F7F"/>
            <w:vAlign w:val="center"/>
            <w:hideMark/>
          </w:tcPr>
          <w:p w14:paraId="4718894D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FY 2016</w:t>
            </w:r>
          </w:p>
        </w:tc>
      </w:tr>
      <w:tr w:rsidR="004041F4" w:rsidRPr="002B32A6" w14:paraId="14DCD5E2" w14:textId="77777777" w:rsidTr="00636C4D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0BDD4A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kern w:val="0"/>
                <w:szCs w:val="22"/>
              </w:rPr>
              <w:t>Sales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353887" w14:textId="77777777" w:rsidR="004041F4" w:rsidRPr="00B5156C" w:rsidRDefault="004041F4" w:rsidP="00636C4D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5,121.4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C641F3" w14:textId="77777777" w:rsidR="004041F4" w:rsidRPr="00B5156C" w:rsidRDefault="004041F4" w:rsidP="00636C4D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5,163.3</w:t>
            </w:r>
          </w:p>
        </w:tc>
      </w:tr>
      <w:tr w:rsidR="004041F4" w:rsidRPr="002B32A6" w14:paraId="0029A390" w14:textId="77777777" w:rsidTr="00636C4D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05EF55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kern w:val="0"/>
                <w:szCs w:val="22"/>
              </w:rPr>
              <w:t>Operating 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BB9708" w14:textId="77777777" w:rsidR="004041F4" w:rsidRPr="00B5156C" w:rsidRDefault="004041F4" w:rsidP="00636C4D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705.0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9DE366" w14:textId="77777777" w:rsidR="004041F4" w:rsidRPr="00B5156C" w:rsidRDefault="004041F4" w:rsidP="00636C4D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860.1</w:t>
            </w:r>
          </w:p>
        </w:tc>
      </w:tr>
    </w:tbl>
    <w:p w14:paraId="5874872E" w14:textId="77777777" w:rsidR="004041F4" w:rsidRPr="002B32A6" w:rsidRDefault="004041F4" w:rsidP="004041F4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Gulim" w:eastAsia="Gulim" w:hAnsi="Gulim" w:cs="Gulim"/>
          <w:kern w:val="0"/>
          <w:sz w:val="24"/>
        </w:rPr>
      </w:pPr>
      <w:r w:rsidRPr="002B32A6">
        <w:rPr>
          <w:rFonts w:ascii="Arial" w:eastAsia="Malgun Gothic" w:hAnsi="Arial" w:cs="Arial"/>
          <w:color w:val="500050"/>
          <w:kern w:val="0"/>
          <w:sz w:val="22"/>
          <w:szCs w:val="22"/>
          <w:shd w:val="clear" w:color="auto" w:fill="FFFFFF"/>
        </w:rPr>
        <w:t> </w:t>
      </w:r>
    </w:p>
    <w:p w14:paraId="0972CE93" w14:textId="77777777" w:rsidR="004041F4" w:rsidRPr="00950A55" w:rsidRDefault="004041F4" w:rsidP="004041F4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Malgun Gothic" w:eastAsia="Malgun Gothic" w:hAnsi="Malgun Gothic" w:cs="Gulim"/>
          <w:color w:val="000000" w:themeColor="text1"/>
          <w:kern w:val="0"/>
          <w:szCs w:val="20"/>
          <w:shd w:val="clear" w:color="auto" w:fill="FFFFFF"/>
        </w:rPr>
      </w:pPr>
      <w:r w:rsidRPr="00950A55">
        <w:rPr>
          <w:rFonts w:ascii="Arial" w:eastAsia="Malgun Gothic" w:hAnsi="Arial" w:cs="Arial"/>
          <w:b/>
          <w:bCs/>
          <w:i/>
          <w:iCs/>
          <w:color w:val="000000" w:themeColor="text1"/>
          <w:kern w:val="0"/>
          <w:szCs w:val="20"/>
          <w:shd w:val="clear" w:color="auto" w:fill="FFFFFF"/>
        </w:rPr>
        <w:t>*Exchange Rates: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4041F4" w:rsidRPr="002B32A6" w14:paraId="6B971A8A" w14:textId="77777777" w:rsidTr="00636C4D">
        <w:trPr>
          <w:trHeight w:val="363"/>
        </w:trPr>
        <w:tc>
          <w:tcPr>
            <w:tcW w:w="25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14:paraId="146B9D9E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14:paraId="7F8A836C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FY 2015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7F7F7F"/>
            <w:vAlign w:val="center"/>
            <w:hideMark/>
          </w:tcPr>
          <w:p w14:paraId="7FE0BBF1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FY 2016</w:t>
            </w:r>
          </w:p>
        </w:tc>
      </w:tr>
      <w:tr w:rsidR="004041F4" w:rsidRPr="002B32A6" w14:paraId="0294E542" w14:textId="77777777" w:rsidTr="00636C4D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E20211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kern w:val="0"/>
                <w:szCs w:val="22"/>
              </w:rPr>
              <w:t>USD / KRW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76093C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1,131.49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4D3271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1,160.50</w:t>
            </w:r>
          </w:p>
        </w:tc>
      </w:tr>
      <w:tr w:rsidR="004041F4" w:rsidRPr="002B32A6" w14:paraId="2541B1FB" w14:textId="77777777" w:rsidTr="00636C4D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2BBE0A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kern w:val="0"/>
                <w:szCs w:val="22"/>
              </w:rPr>
              <w:t>EUR / KRW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264DCB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1,255.16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832C27" w14:textId="77777777" w:rsidR="004041F4" w:rsidRPr="00B5156C" w:rsidRDefault="004041F4" w:rsidP="00636C4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1,283.30</w:t>
            </w:r>
          </w:p>
        </w:tc>
      </w:tr>
    </w:tbl>
    <w:p w14:paraId="4D4F164B" w14:textId="14987945" w:rsidR="00200EAE" w:rsidRPr="00950A55" w:rsidRDefault="00950A55" w:rsidP="00950A55">
      <w:pPr>
        <w:wordWrap/>
        <w:ind w:firstLineChars="50" w:firstLine="90"/>
        <w:rPr>
          <w:rFonts w:ascii="Arial" w:hAnsi="Arial" w:cs="Arial"/>
          <w:i/>
          <w:iCs/>
          <w:sz w:val="18"/>
          <w:szCs w:val="18"/>
        </w:rPr>
      </w:pPr>
      <w:r w:rsidRPr="005344C3">
        <w:rPr>
          <w:rFonts w:ascii="Arial" w:hAnsi="Arial" w:cs="Arial"/>
          <w:i/>
          <w:iCs/>
          <w:sz w:val="18"/>
          <w:szCs w:val="18"/>
        </w:rPr>
        <w:t xml:space="preserve">(NOTE: Average exchange rates for the given </w:t>
      </w:r>
      <w:r>
        <w:rPr>
          <w:rFonts w:ascii="Arial" w:hAnsi="Arial" w:cs="Arial" w:hint="eastAsia"/>
          <w:i/>
          <w:iCs/>
          <w:sz w:val="18"/>
          <w:szCs w:val="18"/>
        </w:rPr>
        <w:t>annual</w:t>
      </w:r>
      <w:r w:rsidRPr="005344C3">
        <w:rPr>
          <w:rFonts w:ascii="Arial" w:hAnsi="Arial" w:cs="Arial"/>
          <w:i/>
          <w:iCs/>
          <w:sz w:val="18"/>
          <w:szCs w:val="18"/>
        </w:rPr>
        <w:t xml:space="preserve"> period, retrieved from Korea Exchange Bank)</w:t>
      </w:r>
    </w:p>
    <w:p w14:paraId="74307FED" w14:textId="38710161" w:rsidR="006C6E9C" w:rsidRPr="00950A55" w:rsidRDefault="006C6E9C" w:rsidP="006E3B5A">
      <w:pPr>
        <w:widowControl/>
        <w:wordWrap/>
        <w:autoSpaceDE/>
        <w:autoSpaceDN/>
        <w:ind w:left="142"/>
        <w:jc w:val="left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br w:type="page"/>
      </w:r>
      <w:bookmarkStart w:id="0" w:name="_GoBack"/>
      <w:bookmarkEnd w:id="0"/>
      <w:r>
        <w:rPr>
          <w:rFonts w:ascii="Times New Roman"/>
          <w:b/>
          <w:kern w:val="0"/>
          <w:sz w:val="21"/>
        </w:rPr>
        <w:t>About Hankook</w:t>
      </w:r>
    </w:p>
    <w:p w14:paraId="03A891F3" w14:textId="77777777" w:rsidR="006C6E9C" w:rsidRPr="005B6CB8" w:rsidRDefault="006C6E9C" w:rsidP="006C6E9C">
      <w:pPr>
        <w:wordWrap/>
        <w:snapToGrid w:val="0"/>
        <w:spacing w:line="276" w:lineRule="auto"/>
        <w:ind w:left="142" w:rightChars="197" w:right="394"/>
        <w:rPr>
          <w:rFonts w:ascii="Times New Roman"/>
          <w:bCs/>
          <w:kern w:val="0"/>
          <w:sz w:val="21"/>
          <w:szCs w:val="21"/>
        </w:rPr>
      </w:pPr>
    </w:p>
    <w:p w14:paraId="74F3CBA6" w14:textId="77777777" w:rsidR="006C6E9C" w:rsidRPr="005B6CB8" w:rsidRDefault="006C6E9C" w:rsidP="006C6E9C">
      <w:pPr>
        <w:wordWrap/>
        <w:snapToGrid w:val="0"/>
        <w:spacing w:line="276" w:lineRule="auto"/>
        <w:ind w:left="142" w:rightChars="197" w:right="394"/>
        <w:rPr>
          <w:rFonts w:ascii="Times New Roman"/>
          <w:b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Hankook Tire is one of the global top 5 companies in the mass production of </w:t>
      </w:r>
      <w:proofErr w:type="spellStart"/>
      <w:r>
        <w:rPr>
          <w:rFonts w:ascii="Times New Roman"/>
          <w:kern w:val="0"/>
          <w:sz w:val="21"/>
        </w:rPr>
        <w:t>tyres</w:t>
      </w:r>
      <w:proofErr w:type="spellEnd"/>
      <w:r>
        <w:rPr>
          <w:rFonts w:ascii="Times New Roman"/>
          <w:kern w:val="0"/>
          <w:sz w:val="21"/>
        </w:rPr>
        <w:t xml:space="preserve"> and manufactures innovative, award winning radial </w:t>
      </w:r>
      <w:proofErr w:type="spellStart"/>
      <w:r>
        <w:rPr>
          <w:rFonts w:ascii="Times New Roman"/>
          <w:kern w:val="0"/>
          <w:sz w:val="21"/>
        </w:rPr>
        <w:t>tyres</w:t>
      </w:r>
      <w:proofErr w:type="spellEnd"/>
      <w:r>
        <w:rPr>
          <w:rFonts w:ascii="Times New Roman"/>
          <w:kern w:val="0"/>
          <w:sz w:val="21"/>
        </w:rPr>
        <w:t xml:space="preserve"> of proven superior quality for passenger cars, light trucks, SUVs, RVs, trucks and buses as well as motorsports (circuit racing/rallies).</w:t>
      </w:r>
    </w:p>
    <w:p w14:paraId="47D89E3C" w14:textId="77777777" w:rsidR="006C6E9C" w:rsidRPr="005B6CB8" w:rsidRDefault="006C6E9C" w:rsidP="006C6E9C">
      <w:pPr>
        <w:wordWrap/>
        <w:snapToGrid w:val="0"/>
        <w:spacing w:line="276" w:lineRule="auto"/>
        <w:ind w:left="142" w:rightChars="197" w:right="394"/>
        <w:rPr>
          <w:rFonts w:ascii="Times New Roman"/>
          <w:bCs/>
          <w:kern w:val="0"/>
          <w:sz w:val="21"/>
          <w:szCs w:val="21"/>
        </w:rPr>
      </w:pPr>
    </w:p>
    <w:p w14:paraId="5C3B323F" w14:textId="77777777" w:rsidR="006C6E9C" w:rsidRPr="005B6CB8" w:rsidRDefault="006C6E9C" w:rsidP="006C6E9C">
      <w:pPr>
        <w:wordWrap/>
        <w:snapToGrid w:val="0"/>
        <w:spacing w:line="276" w:lineRule="auto"/>
        <w:ind w:left="142" w:rightChars="197" w:right="394"/>
        <w:rPr>
          <w:rFonts w:ascii="Times New Roman"/>
          <w:b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Hankook continues to invest in research and development so that we can always offer our customers the highest level of quality, combined with technological excellence. At a total of five development centers and seven </w:t>
      </w:r>
      <w:proofErr w:type="gramStart"/>
      <w:r>
        <w:rPr>
          <w:rFonts w:ascii="Times New Roman"/>
          <w:kern w:val="0"/>
          <w:sz w:val="21"/>
        </w:rPr>
        <w:t>large scale</w:t>
      </w:r>
      <w:proofErr w:type="gramEnd"/>
      <w:r>
        <w:rPr>
          <w:rFonts w:ascii="Times New Roman"/>
          <w:kern w:val="0"/>
          <w:sz w:val="21"/>
        </w:rPr>
        <w:t xml:space="preserve"> factories around the world, the company develops and produces </w:t>
      </w:r>
      <w:proofErr w:type="spellStart"/>
      <w:r>
        <w:rPr>
          <w:rFonts w:ascii="Times New Roman"/>
          <w:kern w:val="0"/>
          <w:sz w:val="21"/>
        </w:rPr>
        <w:t>tyre</w:t>
      </w:r>
      <w:proofErr w:type="spellEnd"/>
      <w:r>
        <w:rPr>
          <w:rFonts w:ascii="Times New Roman"/>
          <w:kern w:val="0"/>
          <w:sz w:val="21"/>
        </w:rPr>
        <w:t xml:space="preserve"> solutions specially tailored to the requirements and needs of regional markets. Bespoke </w:t>
      </w:r>
      <w:proofErr w:type="spellStart"/>
      <w:r>
        <w:rPr>
          <w:rFonts w:ascii="Times New Roman"/>
          <w:kern w:val="0"/>
          <w:sz w:val="21"/>
        </w:rPr>
        <w:t>tyre</w:t>
      </w:r>
      <w:proofErr w:type="spellEnd"/>
      <w:r>
        <w:rPr>
          <w:rFonts w:ascii="Times New Roman"/>
          <w:kern w:val="0"/>
          <w:sz w:val="21"/>
        </w:rPr>
        <w:t xml:space="preserve"> solutions for the European markets as well as European Original Equipment according to the requirements of leading premium car manufacturers, </w:t>
      </w:r>
      <w:proofErr w:type="gramStart"/>
      <w:r>
        <w:rPr>
          <w:rFonts w:ascii="Times New Roman"/>
          <w:kern w:val="0"/>
          <w:sz w:val="21"/>
        </w:rPr>
        <w:t>are developed</w:t>
      </w:r>
      <w:proofErr w:type="gramEnd"/>
      <w:r>
        <w:rPr>
          <w:rFonts w:ascii="Times New Roman"/>
          <w:kern w:val="0"/>
          <w:sz w:val="21"/>
        </w:rPr>
        <w:t xml:space="preserve"> in the company’s regional Technical Centre in Hanover/Germany. Production for the European region is taking place in the state-of-the-art manufacturing site in </w:t>
      </w:r>
      <w:proofErr w:type="spellStart"/>
      <w:r>
        <w:rPr>
          <w:rFonts w:ascii="Times New Roman"/>
          <w:kern w:val="0"/>
          <w:sz w:val="21"/>
        </w:rPr>
        <w:t>Rácalmás</w:t>
      </w:r>
      <w:proofErr w:type="spellEnd"/>
      <w:r>
        <w:rPr>
          <w:rFonts w:ascii="Times New Roman"/>
          <w:kern w:val="0"/>
          <w:sz w:val="21"/>
        </w:rPr>
        <w:t>/</w:t>
      </w:r>
      <w:proofErr w:type="gramStart"/>
      <w:r>
        <w:rPr>
          <w:rFonts w:ascii="Times New Roman"/>
          <w:kern w:val="0"/>
          <w:sz w:val="21"/>
        </w:rPr>
        <w:t>Hungary which</w:t>
      </w:r>
      <w:proofErr w:type="gramEnd"/>
      <w:r>
        <w:rPr>
          <w:rFonts w:ascii="Times New Roman"/>
          <w:kern w:val="0"/>
          <w:sz w:val="21"/>
        </w:rPr>
        <w:t xml:space="preserve"> was inaugurated in June 2007 and is continuously being expanded. Currently more than 3,000 employees produce up to 19 million </w:t>
      </w:r>
      <w:proofErr w:type="spellStart"/>
      <w:r>
        <w:rPr>
          <w:rFonts w:ascii="Times New Roman"/>
          <w:kern w:val="0"/>
          <w:sz w:val="21"/>
        </w:rPr>
        <w:t>tyres</w:t>
      </w:r>
      <w:proofErr w:type="spellEnd"/>
      <w:r>
        <w:rPr>
          <w:rFonts w:ascii="Times New Roman"/>
          <w:kern w:val="0"/>
          <w:sz w:val="21"/>
        </w:rPr>
        <w:t xml:space="preserve"> a year for passenger cars, SUVs and light trucks.</w:t>
      </w:r>
    </w:p>
    <w:p w14:paraId="66037B8B" w14:textId="77777777" w:rsidR="006C6E9C" w:rsidRPr="005B6CB8" w:rsidRDefault="006C6E9C" w:rsidP="006C6E9C">
      <w:pPr>
        <w:wordWrap/>
        <w:snapToGrid w:val="0"/>
        <w:spacing w:line="276" w:lineRule="auto"/>
        <w:ind w:left="142" w:rightChars="197" w:right="394"/>
        <w:rPr>
          <w:rFonts w:ascii="Times New Roman"/>
          <w:bCs/>
          <w:kern w:val="0"/>
          <w:sz w:val="21"/>
          <w:szCs w:val="21"/>
        </w:rPr>
      </w:pPr>
    </w:p>
    <w:p w14:paraId="2EA7697A" w14:textId="77777777" w:rsidR="006C6E9C" w:rsidRPr="005B6CB8" w:rsidRDefault="006C6E9C" w:rsidP="006C6E9C">
      <w:pPr>
        <w:wordWrap/>
        <w:snapToGrid w:val="0"/>
        <w:spacing w:line="276" w:lineRule="auto"/>
        <w:ind w:left="142" w:rightChars="197" w:right="394"/>
        <w:rPr>
          <w:rFonts w:ascii="Times New Roman"/>
          <w:b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Hankook Tire’s European headquarters are located in Neu-Isenburg near Frankfurt am Main in Germany. The manufacturer operates further branches in Germany, UK, France, Italy, Spain, the Netherlands, Hungary, Czech Republic, Russia, Turkey, Sweden and Poland. Hankook products </w:t>
      </w:r>
      <w:proofErr w:type="gramStart"/>
      <w:r>
        <w:rPr>
          <w:rFonts w:ascii="Times New Roman"/>
          <w:kern w:val="0"/>
          <w:sz w:val="21"/>
        </w:rPr>
        <w:t>are sold</w:t>
      </w:r>
      <w:proofErr w:type="gramEnd"/>
      <w:r>
        <w:rPr>
          <w:rFonts w:ascii="Times New Roman"/>
          <w:kern w:val="0"/>
          <w:sz w:val="21"/>
        </w:rPr>
        <w:t xml:space="preserve"> directly through regional distributors in other local markets. </w:t>
      </w:r>
      <w:proofErr w:type="gramStart"/>
      <w:r>
        <w:rPr>
          <w:rFonts w:ascii="Times New Roman"/>
          <w:kern w:val="0"/>
          <w:sz w:val="21"/>
        </w:rPr>
        <w:t>Hankook Tire employ more than 22,000 people worldwide and are selling their products in over 180 countries.</w:t>
      </w:r>
      <w:proofErr w:type="gramEnd"/>
      <w:r>
        <w:rPr>
          <w:rFonts w:ascii="Times New Roman"/>
          <w:kern w:val="0"/>
          <w:sz w:val="21"/>
        </w:rPr>
        <w:t xml:space="preserve"> Internationally leading car manufacturers rely on </w:t>
      </w:r>
      <w:proofErr w:type="spellStart"/>
      <w:r>
        <w:rPr>
          <w:rFonts w:ascii="Times New Roman"/>
          <w:kern w:val="0"/>
          <w:sz w:val="21"/>
        </w:rPr>
        <w:t>tyres</w:t>
      </w:r>
      <w:proofErr w:type="spellEnd"/>
      <w:r>
        <w:rPr>
          <w:rFonts w:ascii="Times New Roman"/>
          <w:kern w:val="0"/>
          <w:sz w:val="21"/>
        </w:rPr>
        <w:t xml:space="preserve"> made by Hankook for their original equipment. Approximately 30 percent of the company's global sales </w:t>
      </w:r>
      <w:proofErr w:type="gramStart"/>
      <w:r>
        <w:rPr>
          <w:rFonts w:ascii="Times New Roman"/>
          <w:kern w:val="0"/>
          <w:sz w:val="21"/>
        </w:rPr>
        <w:t>are generated</w:t>
      </w:r>
      <w:proofErr w:type="gramEnd"/>
      <w:r>
        <w:rPr>
          <w:rFonts w:ascii="Times New Roman"/>
          <w:kern w:val="0"/>
          <w:sz w:val="21"/>
        </w:rPr>
        <w:t xml:space="preserve"> within the European and CIS-Region.</w:t>
      </w:r>
    </w:p>
    <w:p w14:paraId="678628F6" w14:textId="77777777" w:rsidR="006C6E9C" w:rsidRPr="005B6CB8" w:rsidRDefault="006C6E9C" w:rsidP="006C6E9C">
      <w:pPr>
        <w:wordWrap/>
        <w:snapToGrid w:val="0"/>
        <w:spacing w:line="276" w:lineRule="auto"/>
        <w:ind w:left="142" w:rightChars="197" w:right="394"/>
        <w:rPr>
          <w:rFonts w:ascii="Times New Roman"/>
          <w:bCs/>
          <w:kern w:val="0"/>
          <w:sz w:val="21"/>
          <w:szCs w:val="21"/>
        </w:rPr>
      </w:pPr>
    </w:p>
    <w:p w14:paraId="20DE55B0" w14:textId="77777777" w:rsidR="006C6E9C" w:rsidRPr="00F24A49" w:rsidRDefault="006C6E9C" w:rsidP="006C6E9C">
      <w:pPr>
        <w:wordWrap/>
        <w:snapToGrid w:val="0"/>
        <w:spacing w:line="276" w:lineRule="auto"/>
        <w:ind w:left="142" w:rightChars="197" w:right="394"/>
        <w:rPr>
          <w:rFonts w:ascii="Times New Roman"/>
          <w:b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For more </w:t>
      </w:r>
      <w:proofErr w:type="gramStart"/>
      <w:r>
        <w:rPr>
          <w:rFonts w:ascii="Times New Roman"/>
          <w:kern w:val="0"/>
          <w:sz w:val="21"/>
        </w:rPr>
        <w:t>information</w:t>
      </w:r>
      <w:proofErr w:type="gramEnd"/>
      <w:r>
        <w:rPr>
          <w:rFonts w:ascii="Times New Roman"/>
          <w:kern w:val="0"/>
          <w:sz w:val="21"/>
        </w:rPr>
        <w:t xml:space="preserve"> please visit </w:t>
      </w:r>
      <w:hyperlink r:id="rId8" w:history="1">
        <w:r w:rsidRPr="008952DB">
          <w:rPr>
            <w:rStyle w:val="Hyperlink"/>
            <w:rFonts w:ascii="Times New Roman"/>
            <w:kern w:val="0"/>
            <w:sz w:val="21"/>
          </w:rPr>
          <w:t>www.hankooktire-mediacenter.com</w:t>
        </w:r>
      </w:hyperlink>
      <w:r>
        <w:rPr>
          <w:rFonts w:ascii="Times New Roman"/>
          <w:kern w:val="0"/>
          <w:sz w:val="21"/>
        </w:rPr>
        <w:t xml:space="preserve"> or </w:t>
      </w:r>
      <w:hyperlink r:id="rId9" w:history="1">
        <w:r w:rsidRPr="008952DB">
          <w:rPr>
            <w:rStyle w:val="Hyperlink"/>
            <w:rFonts w:ascii="Times New Roman"/>
            <w:kern w:val="0"/>
            <w:sz w:val="21"/>
          </w:rPr>
          <w:t>www.hankooktire.com</w:t>
        </w:r>
      </w:hyperlink>
      <w:r>
        <w:rPr>
          <w:rFonts w:ascii="Times New Roman"/>
          <w:kern w:val="0"/>
          <w:sz w:val="21"/>
        </w:rPr>
        <w:t xml:space="preserve"> </w:t>
      </w:r>
    </w:p>
    <w:p w14:paraId="0C89FF22" w14:textId="77777777" w:rsidR="006C6E9C" w:rsidRPr="006B194F" w:rsidRDefault="006C6E9C" w:rsidP="006C6E9C">
      <w:pPr>
        <w:ind w:left="142"/>
        <w:rPr>
          <w:rFonts w:ascii="Times New Roman" w:eastAsia="Malgun Gothic"/>
          <w:sz w:val="21"/>
          <w:szCs w:val="21"/>
        </w:rPr>
      </w:pPr>
    </w:p>
    <w:p w14:paraId="250D65B0" w14:textId="77777777" w:rsidR="006C6E9C" w:rsidRPr="006B194F" w:rsidRDefault="006C6E9C" w:rsidP="006C6E9C">
      <w:pPr>
        <w:rPr>
          <w:rFonts w:ascii="Times New Roman" w:eastAsia="Malgun Gothic"/>
          <w:sz w:val="21"/>
          <w:szCs w:val="21"/>
        </w:rPr>
      </w:pPr>
    </w:p>
    <w:tbl>
      <w:tblPr>
        <w:tblW w:w="9383" w:type="dxa"/>
        <w:shd w:val="clear" w:color="auto" w:fill="F2F2F2"/>
        <w:tblLook w:val="04A0" w:firstRow="1" w:lastRow="0" w:firstColumn="1" w:lastColumn="0" w:noHBand="0" w:noVBand="1"/>
      </w:tblPr>
      <w:tblGrid>
        <w:gridCol w:w="2481"/>
        <w:gridCol w:w="2422"/>
        <w:gridCol w:w="1755"/>
        <w:gridCol w:w="2725"/>
      </w:tblGrid>
      <w:tr w:rsidR="006C6E9C" w:rsidRPr="006B194F" w14:paraId="43BC72C2" w14:textId="77777777" w:rsidTr="00C36A50">
        <w:trPr>
          <w:trHeight w:val="985"/>
        </w:trPr>
        <w:tc>
          <w:tcPr>
            <w:tcW w:w="9382" w:type="dxa"/>
            <w:gridSpan w:val="4"/>
            <w:shd w:val="clear" w:color="auto" w:fill="F2F2F2"/>
          </w:tcPr>
          <w:p w14:paraId="0E02DC78" w14:textId="77777777" w:rsidR="006C6E9C" w:rsidRPr="005B0BC2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</w:pPr>
            <w:proofErr w:type="gramStart"/>
            <w:r w:rsidRPr="005B0BC2">
              <w:rPr>
                <w:rFonts w:ascii="Times New Roman"/>
                <w:b/>
                <w:sz w:val="21"/>
                <w:u w:val="single"/>
                <w:lang w:val="fr-FR"/>
              </w:rPr>
              <w:t>Contact:</w:t>
            </w:r>
            <w:proofErr w:type="gramEnd"/>
          </w:p>
          <w:p w14:paraId="1ED09EAB" w14:textId="77777777" w:rsidR="006C6E9C" w:rsidRPr="005B0BC2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4463CD01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  <w:r w:rsidRPr="005B0BC2">
              <w:rPr>
                <w:rFonts w:ascii="Times New Roman"/>
                <w:b/>
                <w:sz w:val="16"/>
                <w:lang w:val="fr-FR"/>
              </w:rPr>
              <w:t xml:space="preserve">Hankook Tire Europe GmbH | </w:t>
            </w:r>
            <w:proofErr w:type="spellStart"/>
            <w:r w:rsidRPr="005B0BC2">
              <w:rPr>
                <w:rFonts w:ascii="Times New Roman"/>
                <w:sz w:val="16"/>
                <w:lang w:val="fr-FR"/>
              </w:rPr>
              <w:t>Corporate</w:t>
            </w:r>
            <w:proofErr w:type="spellEnd"/>
            <w:r w:rsidRPr="005B0BC2">
              <w:rPr>
                <w:rFonts w:ascii="Times New Roman"/>
                <w:sz w:val="16"/>
                <w:lang w:val="fr-FR"/>
              </w:rPr>
              <w:t xml:space="preserve"> Communications Europe/CIS</w:t>
            </w:r>
            <w:r w:rsidRPr="005B0BC2">
              <w:rPr>
                <w:rFonts w:ascii="Times New Roman"/>
                <w:b/>
                <w:sz w:val="16"/>
                <w:lang w:val="fr-FR"/>
              </w:rPr>
              <w:t xml:space="preserve"> | </w:t>
            </w:r>
            <w:proofErr w:type="spellStart"/>
            <w:r w:rsidRPr="005B0BC2">
              <w:rPr>
                <w:rFonts w:ascii="Times New Roman"/>
                <w:sz w:val="16"/>
                <w:lang w:val="fr-FR"/>
              </w:rPr>
              <w:t>Siemensstr</w:t>
            </w:r>
            <w:proofErr w:type="spellEnd"/>
            <w:r w:rsidRPr="005B0BC2">
              <w:rPr>
                <w:rFonts w:ascii="Times New Roman"/>
                <w:sz w:val="16"/>
                <w:lang w:val="fr-FR"/>
              </w:rPr>
              <w:t xml:space="preserve">. </w:t>
            </w:r>
            <w:r>
              <w:rPr>
                <w:rFonts w:ascii="Times New Roman"/>
                <w:sz w:val="16"/>
              </w:rPr>
              <w:t>5a, 63263 Neu-Isenburg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Germany</w:t>
            </w:r>
          </w:p>
        </w:tc>
      </w:tr>
      <w:tr w:rsidR="006C6E9C" w:rsidRPr="006B194F" w14:paraId="3248CF94" w14:textId="77777777" w:rsidTr="00C36A50">
        <w:trPr>
          <w:trHeight w:val="990"/>
        </w:trPr>
        <w:tc>
          <w:tcPr>
            <w:tcW w:w="2481" w:type="dxa"/>
            <w:shd w:val="clear" w:color="auto" w:fill="F2F2F2"/>
          </w:tcPr>
          <w:p w14:paraId="2F8B5CB0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Anna Pasternak</w:t>
            </w:r>
          </w:p>
          <w:p w14:paraId="106F881C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PR-Manager</w:t>
            </w:r>
          </w:p>
          <w:p w14:paraId="21C5482E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Tel.: +49 (0) 6102 8149 – 173</w:t>
            </w:r>
          </w:p>
          <w:p w14:paraId="286ED46B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a.pasternak@hankookreifen.de</w:t>
            </w:r>
          </w:p>
          <w:p w14:paraId="3ED7E031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F2F2F2"/>
          </w:tcPr>
          <w:p w14:paraId="7AC0910A" w14:textId="77777777" w:rsidR="006C6E9C" w:rsidRPr="005B0BC2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  <w:lang w:val="fr-FR"/>
              </w:rPr>
            </w:pPr>
            <w:r>
              <w:rPr>
                <w:rFonts w:ascii="Times New Roman"/>
                <w:b/>
                <w:sz w:val="16"/>
                <w:lang w:val="fr-FR"/>
              </w:rPr>
              <w:t xml:space="preserve">Sabine </w:t>
            </w:r>
            <w:proofErr w:type="spellStart"/>
            <w:r>
              <w:rPr>
                <w:rFonts w:ascii="Times New Roman"/>
                <w:b/>
                <w:sz w:val="16"/>
                <w:lang w:val="fr-FR"/>
              </w:rPr>
              <w:t>Riedel</w:t>
            </w:r>
            <w:proofErr w:type="spellEnd"/>
          </w:p>
          <w:p w14:paraId="48891349" w14:textId="77777777" w:rsidR="006C6E9C" w:rsidRPr="005B0BC2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  <w:lang w:val="fr-FR"/>
              </w:rPr>
            </w:pPr>
            <w:r w:rsidRPr="005B0BC2">
              <w:rPr>
                <w:rFonts w:ascii="Times New Roman"/>
                <w:sz w:val="16"/>
                <w:lang w:val="fr-FR"/>
              </w:rPr>
              <w:t>Public Relations</w:t>
            </w:r>
          </w:p>
          <w:p w14:paraId="4DB5ABAA" w14:textId="77777777" w:rsidR="006C6E9C" w:rsidRPr="005B0BC2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  <w:lang w:val="fr-FR"/>
              </w:rPr>
            </w:pPr>
            <w:r w:rsidRPr="005B0BC2">
              <w:rPr>
                <w:rFonts w:ascii="Times New Roman"/>
                <w:sz w:val="16"/>
                <w:lang w:val="fr-FR"/>
              </w:rPr>
              <w:t>Tel</w:t>
            </w:r>
            <w:proofErr w:type="gramStart"/>
            <w:r w:rsidRPr="005B0BC2">
              <w:rPr>
                <w:rFonts w:ascii="Times New Roman"/>
                <w:sz w:val="16"/>
                <w:lang w:val="fr-FR"/>
              </w:rPr>
              <w:t>.:</w:t>
            </w:r>
            <w:proofErr w:type="gramEnd"/>
            <w:r w:rsidRPr="005B0BC2">
              <w:rPr>
                <w:rFonts w:ascii="Times New Roman"/>
                <w:sz w:val="16"/>
                <w:lang w:val="fr-FR"/>
              </w:rPr>
              <w:t xml:space="preserve"> +49 (0) 6102 8149 –174</w:t>
            </w:r>
          </w:p>
          <w:p w14:paraId="4D8771EC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s.riedel@hankookreifen.de</w:t>
            </w:r>
          </w:p>
        </w:tc>
        <w:tc>
          <w:tcPr>
            <w:tcW w:w="1755" w:type="dxa"/>
            <w:shd w:val="clear" w:color="auto" w:fill="F2F2F2"/>
          </w:tcPr>
          <w:p w14:paraId="602A4A6B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14:paraId="5175C2FC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14:paraId="2DC62EC4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14:paraId="26FCDA4A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14:paraId="4D4F0E7E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b/>
                <w:sz w:val="16"/>
                <w:szCs w:val="16"/>
              </w:rPr>
            </w:pPr>
          </w:p>
          <w:p w14:paraId="6CEBC7CB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F2F2F2"/>
          </w:tcPr>
          <w:p w14:paraId="2C5CB6A6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</w:p>
          <w:p w14:paraId="7BD7DA8A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</w:p>
          <w:p w14:paraId="22E7D0FA" w14:textId="77777777" w:rsidR="006C6E9C" w:rsidRPr="006B194F" w:rsidRDefault="006C6E9C" w:rsidP="00C36A50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/>
                <w:sz w:val="16"/>
                <w:szCs w:val="16"/>
              </w:rPr>
            </w:pPr>
          </w:p>
        </w:tc>
      </w:tr>
    </w:tbl>
    <w:p w14:paraId="2E50228E" w14:textId="77777777" w:rsidR="006C6E9C" w:rsidRPr="00E767B9" w:rsidRDefault="006C6E9C" w:rsidP="006C6E9C">
      <w:pPr>
        <w:wordWrap/>
        <w:snapToGrid w:val="0"/>
        <w:spacing w:line="276" w:lineRule="auto"/>
        <w:ind w:rightChars="56" w:right="112"/>
        <w:rPr>
          <w:rFonts w:ascii="Arial" w:hAnsi="Arial" w:cs="Arial"/>
          <w:iCs/>
          <w:kern w:val="0"/>
          <w:sz w:val="24"/>
        </w:rPr>
      </w:pPr>
    </w:p>
    <w:p w14:paraId="57E12AB6" w14:textId="77777777" w:rsidR="00E00A32" w:rsidRPr="00784FE0" w:rsidRDefault="00E00A32" w:rsidP="00E00A32">
      <w:pPr>
        <w:wordWrap/>
        <w:snapToGrid w:val="0"/>
        <w:spacing w:line="276" w:lineRule="auto"/>
        <w:ind w:rightChars="56" w:right="112"/>
        <w:rPr>
          <w:rFonts w:ascii="Arial" w:hAnsi="Arial" w:cs="Arial"/>
          <w:kern w:val="0"/>
          <w:sz w:val="22"/>
          <w:szCs w:val="22"/>
        </w:rPr>
      </w:pPr>
    </w:p>
    <w:p w14:paraId="0A8F858C" w14:textId="1944CD8A" w:rsidR="00A36415" w:rsidRDefault="00A36415" w:rsidP="00A36415">
      <w:pPr>
        <w:widowControl/>
        <w:wordWrap/>
        <w:autoSpaceDE/>
        <w:autoSpaceDN/>
        <w:jc w:val="left"/>
        <w:rPr>
          <w:rFonts w:ascii="Arial" w:hAnsi="Arial" w:cs="Arial"/>
          <w:iCs/>
          <w:kern w:val="0"/>
          <w:sz w:val="24"/>
        </w:rPr>
      </w:pPr>
    </w:p>
    <w:sectPr w:rsidR="00A36415" w:rsidSect="00A76580">
      <w:headerReference w:type="default" r:id="rId10"/>
      <w:pgSz w:w="11906" w:h="16838" w:code="9"/>
      <w:pgMar w:top="2268" w:right="1133" w:bottom="1134" w:left="1276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E9B6" w14:textId="77777777" w:rsidR="00BB2D24" w:rsidRDefault="00BB2D24">
      <w:r>
        <w:separator/>
      </w:r>
    </w:p>
  </w:endnote>
  <w:endnote w:type="continuationSeparator" w:id="0">
    <w:p w14:paraId="185EA3D9" w14:textId="77777777" w:rsidR="00BB2D24" w:rsidRDefault="00BB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����">
    <w:altName w:val="Times New Roman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0AB5D" w14:textId="77777777" w:rsidR="00BB2D24" w:rsidRDefault="00BB2D24">
      <w:r>
        <w:separator/>
      </w:r>
    </w:p>
  </w:footnote>
  <w:footnote w:type="continuationSeparator" w:id="0">
    <w:p w14:paraId="779D627B" w14:textId="77777777" w:rsidR="00BB2D24" w:rsidRDefault="00BB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FA96" w14:textId="120E5A97" w:rsidR="005C05F6" w:rsidRPr="007E3E56" w:rsidRDefault="00A250B5" w:rsidP="001F1E90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828A317" wp14:editId="32443547">
          <wp:simplePos x="0" y="0"/>
          <wp:positionH relativeFrom="margin">
            <wp:posOffset>37465</wp:posOffset>
          </wp:positionH>
          <wp:positionV relativeFrom="paragraph">
            <wp:posOffset>-132715</wp:posOffset>
          </wp:positionV>
          <wp:extent cx="6106795" cy="584200"/>
          <wp:effectExtent l="0" t="0" r="8255" b="6350"/>
          <wp:wrapTight wrapText="bothSides">
            <wp:wrapPolygon edited="0">
              <wp:start x="0" y="0"/>
              <wp:lineTo x="0" y="21130"/>
              <wp:lineTo x="21562" y="21130"/>
              <wp:lineTo x="21562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 releas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62723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21CE8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F8A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7418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7F288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F6E8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3B67D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A0FFE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F2C8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88"/>
    <w:rsid w:val="00001B26"/>
    <w:rsid w:val="00003ED4"/>
    <w:rsid w:val="000067F7"/>
    <w:rsid w:val="00006833"/>
    <w:rsid w:val="00017A2B"/>
    <w:rsid w:val="00017B17"/>
    <w:rsid w:val="00024C0C"/>
    <w:rsid w:val="00025A5C"/>
    <w:rsid w:val="0002772C"/>
    <w:rsid w:val="000411F2"/>
    <w:rsid w:val="0004355B"/>
    <w:rsid w:val="000517F4"/>
    <w:rsid w:val="000548E2"/>
    <w:rsid w:val="00056410"/>
    <w:rsid w:val="00062F90"/>
    <w:rsid w:val="00065180"/>
    <w:rsid w:val="00072626"/>
    <w:rsid w:val="00074290"/>
    <w:rsid w:val="0007704F"/>
    <w:rsid w:val="000831B1"/>
    <w:rsid w:val="00083F3C"/>
    <w:rsid w:val="000875D5"/>
    <w:rsid w:val="00092A45"/>
    <w:rsid w:val="0009371C"/>
    <w:rsid w:val="000B0BB5"/>
    <w:rsid w:val="000B411A"/>
    <w:rsid w:val="000B6958"/>
    <w:rsid w:val="000B7332"/>
    <w:rsid w:val="000C0314"/>
    <w:rsid w:val="000D55CF"/>
    <w:rsid w:val="000E1D6D"/>
    <w:rsid w:val="000E603A"/>
    <w:rsid w:val="000F5664"/>
    <w:rsid w:val="000F6D80"/>
    <w:rsid w:val="00101BE8"/>
    <w:rsid w:val="00102EF0"/>
    <w:rsid w:val="00103304"/>
    <w:rsid w:val="00104B50"/>
    <w:rsid w:val="00106F2A"/>
    <w:rsid w:val="0010759B"/>
    <w:rsid w:val="00120D88"/>
    <w:rsid w:val="0012567D"/>
    <w:rsid w:val="0013142D"/>
    <w:rsid w:val="0014197F"/>
    <w:rsid w:val="00150894"/>
    <w:rsid w:val="001614E2"/>
    <w:rsid w:val="00161E47"/>
    <w:rsid w:val="00162C66"/>
    <w:rsid w:val="00163322"/>
    <w:rsid w:val="00175A0A"/>
    <w:rsid w:val="00177ACB"/>
    <w:rsid w:val="001869DB"/>
    <w:rsid w:val="00197263"/>
    <w:rsid w:val="00197562"/>
    <w:rsid w:val="001A3A1B"/>
    <w:rsid w:val="001A50E6"/>
    <w:rsid w:val="001B201B"/>
    <w:rsid w:val="001C1BDA"/>
    <w:rsid w:val="001C2F90"/>
    <w:rsid w:val="001C361D"/>
    <w:rsid w:val="001C3AD8"/>
    <w:rsid w:val="001E3019"/>
    <w:rsid w:val="001E34ED"/>
    <w:rsid w:val="001E4216"/>
    <w:rsid w:val="001F0FB4"/>
    <w:rsid w:val="001F1E90"/>
    <w:rsid w:val="002003BA"/>
    <w:rsid w:val="00200EAE"/>
    <w:rsid w:val="002027B6"/>
    <w:rsid w:val="002108C8"/>
    <w:rsid w:val="00222A01"/>
    <w:rsid w:val="002248AD"/>
    <w:rsid w:val="00227BDC"/>
    <w:rsid w:val="00233E50"/>
    <w:rsid w:val="00233F45"/>
    <w:rsid w:val="0023653F"/>
    <w:rsid w:val="00246D1F"/>
    <w:rsid w:val="0025379F"/>
    <w:rsid w:val="002556D7"/>
    <w:rsid w:val="0025739E"/>
    <w:rsid w:val="00267B18"/>
    <w:rsid w:val="002718FF"/>
    <w:rsid w:val="00271BA6"/>
    <w:rsid w:val="002755BD"/>
    <w:rsid w:val="002A5094"/>
    <w:rsid w:val="002A6543"/>
    <w:rsid w:val="002B30F1"/>
    <w:rsid w:val="002C00EE"/>
    <w:rsid w:val="002D0C91"/>
    <w:rsid w:val="002D27EF"/>
    <w:rsid w:val="002D4BAE"/>
    <w:rsid w:val="002D4F96"/>
    <w:rsid w:val="002D5B1A"/>
    <w:rsid w:val="002E4904"/>
    <w:rsid w:val="002F4BA8"/>
    <w:rsid w:val="002F6C1C"/>
    <w:rsid w:val="002F7B1B"/>
    <w:rsid w:val="0030092B"/>
    <w:rsid w:val="003049EE"/>
    <w:rsid w:val="00304B76"/>
    <w:rsid w:val="003112B9"/>
    <w:rsid w:val="0031176B"/>
    <w:rsid w:val="00312849"/>
    <w:rsid w:val="003136F1"/>
    <w:rsid w:val="00314014"/>
    <w:rsid w:val="00331C51"/>
    <w:rsid w:val="00343CCC"/>
    <w:rsid w:val="00344D69"/>
    <w:rsid w:val="00344F0A"/>
    <w:rsid w:val="00360B1F"/>
    <w:rsid w:val="00362D20"/>
    <w:rsid w:val="00363C25"/>
    <w:rsid w:val="003643E1"/>
    <w:rsid w:val="00364861"/>
    <w:rsid w:val="00371E7C"/>
    <w:rsid w:val="00377C2E"/>
    <w:rsid w:val="00383460"/>
    <w:rsid w:val="003849C6"/>
    <w:rsid w:val="0038762D"/>
    <w:rsid w:val="00387F7A"/>
    <w:rsid w:val="003917CC"/>
    <w:rsid w:val="003A4235"/>
    <w:rsid w:val="003A4407"/>
    <w:rsid w:val="003A4F6D"/>
    <w:rsid w:val="003A723F"/>
    <w:rsid w:val="003B278F"/>
    <w:rsid w:val="003B2E25"/>
    <w:rsid w:val="003B3191"/>
    <w:rsid w:val="003B44B4"/>
    <w:rsid w:val="003C0FBD"/>
    <w:rsid w:val="003C7BFC"/>
    <w:rsid w:val="003D58E0"/>
    <w:rsid w:val="003D68C7"/>
    <w:rsid w:val="003E1A1E"/>
    <w:rsid w:val="003E4726"/>
    <w:rsid w:val="003F2DE3"/>
    <w:rsid w:val="004041F4"/>
    <w:rsid w:val="004157B0"/>
    <w:rsid w:val="004206E9"/>
    <w:rsid w:val="00420E15"/>
    <w:rsid w:val="004350DC"/>
    <w:rsid w:val="00436EAA"/>
    <w:rsid w:val="004414C4"/>
    <w:rsid w:val="0044446D"/>
    <w:rsid w:val="00444993"/>
    <w:rsid w:val="00444E7F"/>
    <w:rsid w:val="004460D3"/>
    <w:rsid w:val="00446550"/>
    <w:rsid w:val="00447A3E"/>
    <w:rsid w:val="00455AEE"/>
    <w:rsid w:val="00457BD7"/>
    <w:rsid w:val="00460D21"/>
    <w:rsid w:val="004732AC"/>
    <w:rsid w:val="0047391A"/>
    <w:rsid w:val="004824FA"/>
    <w:rsid w:val="00485225"/>
    <w:rsid w:val="00487547"/>
    <w:rsid w:val="00497A8D"/>
    <w:rsid w:val="004A31F4"/>
    <w:rsid w:val="004B150E"/>
    <w:rsid w:val="004C29C2"/>
    <w:rsid w:val="004C6ECC"/>
    <w:rsid w:val="004E261D"/>
    <w:rsid w:val="004F28A8"/>
    <w:rsid w:val="004F2952"/>
    <w:rsid w:val="005011CC"/>
    <w:rsid w:val="0050351C"/>
    <w:rsid w:val="005037DC"/>
    <w:rsid w:val="0053099D"/>
    <w:rsid w:val="00530BA4"/>
    <w:rsid w:val="00533C3E"/>
    <w:rsid w:val="005376B1"/>
    <w:rsid w:val="00551780"/>
    <w:rsid w:val="005553B9"/>
    <w:rsid w:val="005601DA"/>
    <w:rsid w:val="00560424"/>
    <w:rsid w:val="00562EB1"/>
    <w:rsid w:val="00572854"/>
    <w:rsid w:val="00572CF3"/>
    <w:rsid w:val="00572F13"/>
    <w:rsid w:val="00576183"/>
    <w:rsid w:val="00577CD5"/>
    <w:rsid w:val="00581A3B"/>
    <w:rsid w:val="00581E18"/>
    <w:rsid w:val="00585BFE"/>
    <w:rsid w:val="00596081"/>
    <w:rsid w:val="005A26B2"/>
    <w:rsid w:val="005A508B"/>
    <w:rsid w:val="005A5A44"/>
    <w:rsid w:val="005B210E"/>
    <w:rsid w:val="005B219E"/>
    <w:rsid w:val="005B51AA"/>
    <w:rsid w:val="005C05F6"/>
    <w:rsid w:val="005C0C4E"/>
    <w:rsid w:val="005C0FB0"/>
    <w:rsid w:val="005C181C"/>
    <w:rsid w:val="005C412D"/>
    <w:rsid w:val="005D4631"/>
    <w:rsid w:val="005E6475"/>
    <w:rsid w:val="005F37C4"/>
    <w:rsid w:val="005F3C4A"/>
    <w:rsid w:val="005F7047"/>
    <w:rsid w:val="005F7481"/>
    <w:rsid w:val="00607FEE"/>
    <w:rsid w:val="0061114B"/>
    <w:rsid w:val="0061202C"/>
    <w:rsid w:val="00612C39"/>
    <w:rsid w:val="00614B40"/>
    <w:rsid w:val="00615848"/>
    <w:rsid w:val="006179DA"/>
    <w:rsid w:val="00621306"/>
    <w:rsid w:val="006445FB"/>
    <w:rsid w:val="0064577B"/>
    <w:rsid w:val="00647311"/>
    <w:rsid w:val="00655AAF"/>
    <w:rsid w:val="00662147"/>
    <w:rsid w:val="006667B6"/>
    <w:rsid w:val="00666939"/>
    <w:rsid w:val="00667BB8"/>
    <w:rsid w:val="00671285"/>
    <w:rsid w:val="00673B55"/>
    <w:rsid w:val="0068335A"/>
    <w:rsid w:val="006845C6"/>
    <w:rsid w:val="00686AE0"/>
    <w:rsid w:val="00686D56"/>
    <w:rsid w:val="00696E35"/>
    <w:rsid w:val="006972E3"/>
    <w:rsid w:val="006A5A04"/>
    <w:rsid w:val="006A5C6C"/>
    <w:rsid w:val="006B6A63"/>
    <w:rsid w:val="006C6E9C"/>
    <w:rsid w:val="006C7894"/>
    <w:rsid w:val="006D0C54"/>
    <w:rsid w:val="006D1B2E"/>
    <w:rsid w:val="006D2B42"/>
    <w:rsid w:val="006D3D26"/>
    <w:rsid w:val="006D7992"/>
    <w:rsid w:val="006E32E9"/>
    <w:rsid w:val="006E3B5A"/>
    <w:rsid w:val="006E451A"/>
    <w:rsid w:val="006F16FE"/>
    <w:rsid w:val="006F3E1C"/>
    <w:rsid w:val="006F3EA3"/>
    <w:rsid w:val="006F50B5"/>
    <w:rsid w:val="006F6C09"/>
    <w:rsid w:val="0070081A"/>
    <w:rsid w:val="00711E67"/>
    <w:rsid w:val="00713C21"/>
    <w:rsid w:val="00715BB9"/>
    <w:rsid w:val="00716459"/>
    <w:rsid w:val="007165BD"/>
    <w:rsid w:val="007232C9"/>
    <w:rsid w:val="00725098"/>
    <w:rsid w:val="0073576C"/>
    <w:rsid w:val="00742854"/>
    <w:rsid w:val="0076020A"/>
    <w:rsid w:val="007627A2"/>
    <w:rsid w:val="00766647"/>
    <w:rsid w:val="007713B4"/>
    <w:rsid w:val="007843E8"/>
    <w:rsid w:val="00784A84"/>
    <w:rsid w:val="00784FE0"/>
    <w:rsid w:val="00790A5A"/>
    <w:rsid w:val="00790CA1"/>
    <w:rsid w:val="007911B2"/>
    <w:rsid w:val="00794773"/>
    <w:rsid w:val="0079682A"/>
    <w:rsid w:val="007A26F4"/>
    <w:rsid w:val="007A69DF"/>
    <w:rsid w:val="007B2158"/>
    <w:rsid w:val="007B21B8"/>
    <w:rsid w:val="007B7E9F"/>
    <w:rsid w:val="007C2657"/>
    <w:rsid w:val="007C2672"/>
    <w:rsid w:val="007C61BE"/>
    <w:rsid w:val="007D773A"/>
    <w:rsid w:val="007E2845"/>
    <w:rsid w:val="007E3092"/>
    <w:rsid w:val="007E54F5"/>
    <w:rsid w:val="007F5659"/>
    <w:rsid w:val="008047F0"/>
    <w:rsid w:val="00807476"/>
    <w:rsid w:val="008161DF"/>
    <w:rsid w:val="00816A3F"/>
    <w:rsid w:val="00817D1E"/>
    <w:rsid w:val="00820464"/>
    <w:rsid w:val="008234C7"/>
    <w:rsid w:val="00823811"/>
    <w:rsid w:val="00830A3E"/>
    <w:rsid w:val="00832C60"/>
    <w:rsid w:val="00834BD8"/>
    <w:rsid w:val="00842D2D"/>
    <w:rsid w:val="00857B3E"/>
    <w:rsid w:val="00857BB8"/>
    <w:rsid w:val="00862CA4"/>
    <w:rsid w:val="0086444D"/>
    <w:rsid w:val="008650BC"/>
    <w:rsid w:val="00865A22"/>
    <w:rsid w:val="00880154"/>
    <w:rsid w:val="008805BC"/>
    <w:rsid w:val="008903C8"/>
    <w:rsid w:val="008922CE"/>
    <w:rsid w:val="00894A06"/>
    <w:rsid w:val="00895890"/>
    <w:rsid w:val="008A2954"/>
    <w:rsid w:val="008B2C3F"/>
    <w:rsid w:val="008C0A9C"/>
    <w:rsid w:val="008C0CCF"/>
    <w:rsid w:val="008C351A"/>
    <w:rsid w:val="008C3CE0"/>
    <w:rsid w:val="008C6923"/>
    <w:rsid w:val="008C6CE9"/>
    <w:rsid w:val="008D569C"/>
    <w:rsid w:val="008E38C8"/>
    <w:rsid w:val="008E3F8F"/>
    <w:rsid w:val="008E5266"/>
    <w:rsid w:val="008E5716"/>
    <w:rsid w:val="008E7F71"/>
    <w:rsid w:val="008F1402"/>
    <w:rsid w:val="008F53F3"/>
    <w:rsid w:val="009042E3"/>
    <w:rsid w:val="00905A22"/>
    <w:rsid w:val="0091487F"/>
    <w:rsid w:val="00917ED4"/>
    <w:rsid w:val="00917F13"/>
    <w:rsid w:val="00921206"/>
    <w:rsid w:val="0092297D"/>
    <w:rsid w:val="00922D88"/>
    <w:rsid w:val="0092333D"/>
    <w:rsid w:val="009265F3"/>
    <w:rsid w:val="009408EB"/>
    <w:rsid w:val="00945782"/>
    <w:rsid w:val="00946E3B"/>
    <w:rsid w:val="00950A55"/>
    <w:rsid w:val="00961163"/>
    <w:rsid w:val="00962FEC"/>
    <w:rsid w:val="00965C7E"/>
    <w:rsid w:val="009801A3"/>
    <w:rsid w:val="009832E3"/>
    <w:rsid w:val="00984E2B"/>
    <w:rsid w:val="009856BB"/>
    <w:rsid w:val="0098683B"/>
    <w:rsid w:val="00994023"/>
    <w:rsid w:val="00996B66"/>
    <w:rsid w:val="00996F19"/>
    <w:rsid w:val="009A2AEE"/>
    <w:rsid w:val="009B0771"/>
    <w:rsid w:val="009B107B"/>
    <w:rsid w:val="009B1ECB"/>
    <w:rsid w:val="009B6805"/>
    <w:rsid w:val="009B7FB6"/>
    <w:rsid w:val="009C4F5E"/>
    <w:rsid w:val="009D0A85"/>
    <w:rsid w:val="009D3098"/>
    <w:rsid w:val="009E0C28"/>
    <w:rsid w:val="009E525A"/>
    <w:rsid w:val="00A12CCD"/>
    <w:rsid w:val="00A20652"/>
    <w:rsid w:val="00A250B5"/>
    <w:rsid w:val="00A26C68"/>
    <w:rsid w:val="00A36415"/>
    <w:rsid w:val="00A4768A"/>
    <w:rsid w:val="00A51DA9"/>
    <w:rsid w:val="00A52032"/>
    <w:rsid w:val="00A52DF5"/>
    <w:rsid w:val="00A535A3"/>
    <w:rsid w:val="00A54D17"/>
    <w:rsid w:val="00A5536F"/>
    <w:rsid w:val="00A577E0"/>
    <w:rsid w:val="00A57A2D"/>
    <w:rsid w:val="00A6095A"/>
    <w:rsid w:val="00A60D1B"/>
    <w:rsid w:val="00A617A2"/>
    <w:rsid w:val="00A63D45"/>
    <w:rsid w:val="00A66571"/>
    <w:rsid w:val="00A668CE"/>
    <w:rsid w:val="00A72685"/>
    <w:rsid w:val="00A745C2"/>
    <w:rsid w:val="00A7478E"/>
    <w:rsid w:val="00A74839"/>
    <w:rsid w:val="00A74EFA"/>
    <w:rsid w:val="00A75C31"/>
    <w:rsid w:val="00A76580"/>
    <w:rsid w:val="00A870E1"/>
    <w:rsid w:val="00A90169"/>
    <w:rsid w:val="00A909EF"/>
    <w:rsid w:val="00AA61BE"/>
    <w:rsid w:val="00AB744B"/>
    <w:rsid w:val="00AC0B4C"/>
    <w:rsid w:val="00AC6C32"/>
    <w:rsid w:val="00AD35F8"/>
    <w:rsid w:val="00AE3306"/>
    <w:rsid w:val="00AF5544"/>
    <w:rsid w:val="00B00050"/>
    <w:rsid w:val="00B0660F"/>
    <w:rsid w:val="00B131E8"/>
    <w:rsid w:val="00B13A1C"/>
    <w:rsid w:val="00B13ACA"/>
    <w:rsid w:val="00B21381"/>
    <w:rsid w:val="00B234CA"/>
    <w:rsid w:val="00B25C14"/>
    <w:rsid w:val="00B35956"/>
    <w:rsid w:val="00B37345"/>
    <w:rsid w:val="00B373A6"/>
    <w:rsid w:val="00B41961"/>
    <w:rsid w:val="00B43C9A"/>
    <w:rsid w:val="00B460D9"/>
    <w:rsid w:val="00B50E9B"/>
    <w:rsid w:val="00B55861"/>
    <w:rsid w:val="00B55D94"/>
    <w:rsid w:val="00B576C7"/>
    <w:rsid w:val="00B67D46"/>
    <w:rsid w:val="00B73D7E"/>
    <w:rsid w:val="00B84802"/>
    <w:rsid w:val="00B903C3"/>
    <w:rsid w:val="00B91A0E"/>
    <w:rsid w:val="00B95AD6"/>
    <w:rsid w:val="00BB2D24"/>
    <w:rsid w:val="00BC3FA8"/>
    <w:rsid w:val="00BC5355"/>
    <w:rsid w:val="00BC660A"/>
    <w:rsid w:val="00BD3FAA"/>
    <w:rsid w:val="00BE4ED4"/>
    <w:rsid w:val="00BF5A72"/>
    <w:rsid w:val="00C00ACF"/>
    <w:rsid w:val="00C00DCB"/>
    <w:rsid w:val="00C016E0"/>
    <w:rsid w:val="00C01F52"/>
    <w:rsid w:val="00C1195C"/>
    <w:rsid w:val="00C21867"/>
    <w:rsid w:val="00C22E49"/>
    <w:rsid w:val="00C25161"/>
    <w:rsid w:val="00C260C2"/>
    <w:rsid w:val="00C337C6"/>
    <w:rsid w:val="00C40688"/>
    <w:rsid w:val="00C4099F"/>
    <w:rsid w:val="00C4386E"/>
    <w:rsid w:val="00C4433C"/>
    <w:rsid w:val="00C4683D"/>
    <w:rsid w:val="00C516D6"/>
    <w:rsid w:val="00C52F5F"/>
    <w:rsid w:val="00C60CE2"/>
    <w:rsid w:val="00C60ED8"/>
    <w:rsid w:val="00C61C69"/>
    <w:rsid w:val="00C63E12"/>
    <w:rsid w:val="00C65850"/>
    <w:rsid w:val="00C705B7"/>
    <w:rsid w:val="00C72490"/>
    <w:rsid w:val="00C76E74"/>
    <w:rsid w:val="00C8029D"/>
    <w:rsid w:val="00C81399"/>
    <w:rsid w:val="00C866C8"/>
    <w:rsid w:val="00C972A6"/>
    <w:rsid w:val="00CA50AE"/>
    <w:rsid w:val="00CB28A1"/>
    <w:rsid w:val="00CB2DC4"/>
    <w:rsid w:val="00CB3022"/>
    <w:rsid w:val="00CB30AA"/>
    <w:rsid w:val="00CC0BBA"/>
    <w:rsid w:val="00CE0695"/>
    <w:rsid w:val="00CE0E73"/>
    <w:rsid w:val="00CE2E42"/>
    <w:rsid w:val="00CE53A7"/>
    <w:rsid w:val="00CE584B"/>
    <w:rsid w:val="00CE5D17"/>
    <w:rsid w:val="00CE6304"/>
    <w:rsid w:val="00CF0E04"/>
    <w:rsid w:val="00CF1C31"/>
    <w:rsid w:val="00D0031C"/>
    <w:rsid w:val="00D0459C"/>
    <w:rsid w:val="00D06108"/>
    <w:rsid w:val="00D1194E"/>
    <w:rsid w:val="00D11E7A"/>
    <w:rsid w:val="00D12A06"/>
    <w:rsid w:val="00D221C8"/>
    <w:rsid w:val="00D24CAC"/>
    <w:rsid w:val="00D251E2"/>
    <w:rsid w:val="00D35D7F"/>
    <w:rsid w:val="00D373E8"/>
    <w:rsid w:val="00D423AB"/>
    <w:rsid w:val="00D43C92"/>
    <w:rsid w:val="00D453A8"/>
    <w:rsid w:val="00D46A3C"/>
    <w:rsid w:val="00D534C0"/>
    <w:rsid w:val="00D61307"/>
    <w:rsid w:val="00D75368"/>
    <w:rsid w:val="00D76BD0"/>
    <w:rsid w:val="00D8477F"/>
    <w:rsid w:val="00D87261"/>
    <w:rsid w:val="00D8749B"/>
    <w:rsid w:val="00D90F33"/>
    <w:rsid w:val="00D924DD"/>
    <w:rsid w:val="00DA01EE"/>
    <w:rsid w:val="00DA390E"/>
    <w:rsid w:val="00DA5929"/>
    <w:rsid w:val="00DB33B9"/>
    <w:rsid w:val="00DB655B"/>
    <w:rsid w:val="00DC3D3F"/>
    <w:rsid w:val="00DD699B"/>
    <w:rsid w:val="00DE0692"/>
    <w:rsid w:val="00DE40A0"/>
    <w:rsid w:val="00DE4CE6"/>
    <w:rsid w:val="00DF5389"/>
    <w:rsid w:val="00E00A32"/>
    <w:rsid w:val="00E12C17"/>
    <w:rsid w:val="00E141CB"/>
    <w:rsid w:val="00E20F68"/>
    <w:rsid w:val="00E22F35"/>
    <w:rsid w:val="00E321A8"/>
    <w:rsid w:val="00E3373B"/>
    <w:rsid w:val="00E41893"/>
    <w:rsid w:val="00E523B6"/>
    <w:rsid w:val="00E54916"/>
    <w:rsid w:val="00E56CD3"/>
    <w:rsid w:val="00E56FF3"/>
    <w:rsid w:val="00E57F4D"/>
    <w:rsid w:val="00E66D67"/>
    <w:rsid w:val="00E66E4A"/>
    <w:rsid w:val="00E86F42"/>
    <w:rsid w:val="00E91F6B"/>
    <w:rsid w:val="00EA49AE"/>
    <w:rsid w:val="00EB1962"/>
    <w:rsid w:val="00EC6383"/>
    <w:rsid w:val="00EC66A7"/>
    <w:rsid w:val="00ED0617"/>
    <w:rsid w:val="00ED3C4B"/>
    <w:rsid w:val="00ED6DA7"/>
    <w:rsid w:val="00EE03AF"/>
    <w:rsid w:val="00EE126A"/>
    <w:rsid w:val="00EF4261"/>
    <w:rsid w:val="00EF4655"/>
    <w:rsid w:val="00F1557C"/>
    <w:rsid w:val="00F160D1"/>
    <w:rsid w:val="00F22246"/>
    <w:rsid w:val="00F2681D"/>
    <w:rsid w:val="00F27925"/>
    <w:rsid w:val="00F31841"/>
    <w:rsid w:val="00F31DD4"/>
    <w:rsid w:val="00F3212E"/>
    <w:rsid w:val="00F32D3F"/>
    <w:rsid w:val="00F34B5E"/>
    <w:rsid w:val="00F44A39"/>
    <w:rsid w:val="00F54113"/>
    <w:rsid w:val="00F6287A"/>
    <w:rsid w:val="00F66E1C"/>
    <w:rsid w:val="00F728F6"/>
    <w:rsid w:val="00F748F3"/>
    <w:rsid w:val="00F75A33"/>
    <w:rsid w:val="00F77110"/>
    <w:rsid w:val="00F8274F"/>
    <w:rsid w:val="00F83768"/>
    <w:rsid w:val="00F90176"/>
    <w:rsid w:val="00F93CDE"/>
    <w:rsid w:val="00F94621"/>
    <w:rsid w:val="00F9558F"/>
    <w:rsid w:val="00F9705D"/>
    <w:rsid w:val="00FA1B15"/>
    <w:rsid w:val="00FA69B1"/>
    <w:rsid w:val="00FC0223"/>
    <w:rsid w:val="00FC50E9"/>
    <w:rsid w:val="00FC63FA"/>
    <w:rsid w:val="00FC6E23"/>
    <w:rsid w:val="00FD3CD6"/>
    <w:rsid w:val="00FD451F"/>
    <w:rsid w:val="00FD4730"/>
    <w:rsid w:val="00FD5776"/>
    <w:rsid w:val="00FD6AF0"/>
    <w:rsid w:val="00FD7BC4"/>
    <w:rsid w:val="00FE0991"/>
    <w:rsid w:val="00FE5D10"/>
    <w:rsid w:val="00FE72AB"/>
    <w:rsid w:val="00FF00CE"/>
    <w:rsid w:val="00FF2621"/>
    <w:rsid w:val="00FF31F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F48B17"/>
  <w15:docId w15:val="{95DA3FA1-362B-4FA7-937F-CC9C075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688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rsid w:val="00C4068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068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KopfzeileZchn">
    <w:name w:val="Kopfzeile Zchn"/>
    <w:link w:val="Kopfzeile"/>
    <w:rsid w:val="00C40688"/>
    <w:rPr>
      <w:rFonts w:ascii="Batang" w:eastAsia="Batang" w:hAnsi="Times New Roman" w:cs="Times New Roman"/>
      <w:szCs w:val="24"/>
    </w:rPr>
  </w:style>
  <w:style w:type="character" w:styleId="Hyperlink">
    <w:name w:val="Hyperlink"/>
    <w:uiPriority w:val="99"/>
    <w:unhideWhenUsed/>
    <w:rsid w:val="00C406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40688"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character" w:customStyle="1" w:styleId="apple-converted-space">
    <w:name w:val="apple-converted-space"/>
    <w:basedOn w:val="Absatz-Standardschriftart"/>
    <w:rsid w:val="00C406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688"/>
    <w:rPr>
      <w:rFonts w:ascii="Malgun Gothic" w:eastAsia="Malgun Gothic" w:hAnsi="Malgun Gothic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0688"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49EE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sid w:val="003049EE"/>
    <w:rPr>
      <w:rFonts w:ascii="Batang" w:eastAsia="Batang" w:hAnsi="Times New Roman"/>
      <w:kern w:val="2"/>
      <w:szCs w:val="24"/>
    </w:rPr>
  </w:style>
  <w:style w:type="character" w:customStyle="1" w:styleId="resenkohighlightspan">
    <w:name w:val="resenkohighlightspan"/>
    <w:rsid w:val="00A74839"/>
  </w:style>
  <w:style w:type="character" w:customStyle="1" w:styleId="srcenkohighlightspan">
    <w:name w:val="srcenkohighlightspan"/>
    <w:rsid w:val="00222A01"/>
  </w:style>
  <w:style w:type="character" w:styleId="Hervorhebung">
    <w:name w:val="Emphasis"/>
    <w:uiPriority w:val="20"/>
    <w:qFormat/>
    <w:rsid w:val="00CC0BBA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9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991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991"/>
    <w:rPr>
      <w:rFonts w:ascii="Batang" w:eastAsia="Batang" w:hAnsi="Times New Roman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0991"/>
    <w:rPr>
      <w:rFonts w:ascii="Batang" w:eastAsia="Batang" w:hAnsi="Times New Roman"/>
      <w:b/>
      <w:bCs/>
      <w:kern w:val="2"/>
      <w:szCs w:val="24"/>
    </w:rPr>
  </w:style>
  <w:style w:type="paragraph" w:styleId="berarbeitung">
    <w:name w:val="Revision"/>
    <w:hidden/>
    <w:uiPriority w:val="99"/>
    <w:semiHidden/>
    <w:rsid w:val="002A6543"/>
    <w:rPr>
      <w:rFonts w:ascii="Batang" w:eastAsia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70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19454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7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399603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458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249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130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501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31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5916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3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63283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CD87-C8C0-4A5D-BE72-534EE1CD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4959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5734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mailto:mina@brodeurap.com</vt:lpwstr>
      </vt:variant>
      <vt:variant>
        <vt:lpwstr/>
      </vt:variant>
      <vt:variant>
        <vt:i4>1179697</vt:i4>
      </vt:variant>
      <vt:variant>
        <vt:i4>12</vt:i4>
      </vt:variant>
      <vt:variant>
        <vt:i4>0</vt:i4>
      </vt:variant>
      <vt:variant>
        <vt:i4>5</vt:i4>
      </vt:variant>
      <vt:variant>
        <vt:lpwstr>mailto:sooyong@brodeurap.com</vt:lpwstr>
      </vt:variant>
      <vt:variant>
        <vt:lpwstr/>
      </vt:variant>
      <vt:variant>
        <vt:i4>852026</vt:i4>
      </vt:variant>
      <vt:variant>
        <vt:i4>9</vt:i4>
      </vt:variant>
      <vt:variant>
        <vt:i4>0</vt:i4>
      </vt:variant>
      <vt:variant>
        <vt:i4>5</vt:i4>
      </vt:variant>
      <vt:variant>
        <vt:lpwstr>mailto:eugine@brodeurap.com</vt:lpwstr>
      </vt:variant>
      <vt:variant>
        <vt:lpwstr/>
      </vt:variant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mailto:Inyoung.Chung@hankooktire.com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mailto:suyun.cho@hankooktire.com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http://www.hankooktire.com/global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BRODEUR</dc:creator>
  <cp:lastModifiedBy>HTNT</cp:lastModifiedBy>
  <cp:revision>9</cp:revision>
  <cp:lastPrinted>2017-02-06T07:55:00Z</cp:lastPrinted>
  <dcterms:created xsi:type="dcterms:W3CDTF">2017-02-06T15:35:00Z</dcterms:created>
  <dcterms:modified xsi:type="dcterms:W3CDTF">2017-02-06T17:14:00Z</dcterms:modified>
</cp:coreProperties>
</file>