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D62FC" w14:textId="77777777" w:rsidR="005C2BC8" w:rsidRPr="000C7686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010B3298" w14:textId="0D972B3C" w:rsidR="00046E26" w:rsidRPr="000C7686" w:rsidRDefault="006D2055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0C7686">
        <w:rPr>
          <w:rFonts w:ascii="Helvetica" w:hAnsi="Helvetica"/>
          <w:b/>
          <w:color w:val="FF6600"/>
          <w:sz w:val="32"/>
        </w:rPr>
        <w:t>Hankook Tire publikuje globalne wyniki finansowe za rok 2018</w:t>
      </w:r>
    </w:p>
    <w:p w14:paraId="25A0AAEA" w14:textId="77777777" w:rsidR="002A1A77" w:rsidRPr="001B4DA5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764E0983" w14:textId="77777777" w:rsidR="00240A24" w:rsidRDefault="001E5577" w:rsidP="00D8782F">
      <w:pPr>
        <w:widowControl/>
        <w:suppressAutoHyphens w:val="0"/>
        <w:snapToGrid w:val="0"/>
        <w:spacing w:line="276" w:lineRule="auto"/>
        <w:ind w:right="-30"/>
        <w:rPr>
          <w:b/>
          <w:iCs/>
          <w:color w:val="000000"/>
          <w:sz w:val="22"/>
          <w:szCs w:val="22"/>
        </w:rPr>
      </w:pPr>
      <w:r w:rsidRPr="000C7686">
        <w:rPr>
          <w:b/>
          <w:iCs/>
          <w:color w:val="000000"/>
          <w:sz w:val="22"/>
          <w:szCs w:val="22"/>
        </w:rPr>
        <w:t>W roku obrotowym 2018 producent opon Hankook osiągnął obroty w wysokości 6,79 biliona KRW,</w:t>
      </w:r>
    </w:p>
    <w:p w14:paraId="239C8ACB" w14:textId="4E7F4F6D" w:rsidR="001E5577" w:rsidRPr="000C7686" w:rsidRDefault="001E5577" w:rsidP="00D8782F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  <w:r w:rsidRPr="000C7686">
        <w:rPr>
          <w:b/>
          <w:iCs/>
          <w:color w:val="000000"/>
          <w:sz w:val="22"/>
          <w:szCs w:val="22"/>
        </w:rPr>
        <w:t xml:space="preserve"> a wyniki operacyjne w wysokości 703,7 mld KRW. Przyczyniła się </w:t>
      </w:r>
      <w:r w:rsidR="00240A24">
        <w:rPr>
          <w:b/>
          <w:iCs/>
          <w:color w:val="000000"/>
          <w:sz w:val="22"/>
          <w:szCs w:val="22"/>
        </w:rPr>
        <w:t>do tego głównie wyższa sprzedaż</w:t>
      </w:r>
      <w:r w:rsidRPr="000C7686">
        <w:rPr>
          <w:b/>
          <w:iCs/>
          <w:color w:val="000000"/>
          <w:sz w:val="22"/>
          <w:szCs w:val="22"/>
        </w:rPr>
        <w:t xml:space="preserve"> opon o</w:t>
      </w:r>
      <w:r w:rsidR="00240A24">
        <w:rPr>
          <w:b/>
          <w:iCs/>
          <w:color w:val="000000"/>
          <w:sz w:val="22"/>
          <w:szCs w:val="22"/>
        </w:rPr>
        <w:t xml:space="preserve"> średnicy powyżej 18</w:t>
      </w:r>
      <w:r w:rsidRPr="000C7686">
        <w:rPr>
          <w:b/>
          <w:iCs/>
          <w:color w:val="000000"/>
          <w:sz w:val="22"/>
          <w:szCs w:val="22"/>
        </w:rPr>
        <w:t xml:space="preserve"> cali na głównych rynkach, takich jak Europa i Stany Zjednoczone.</w:t>
      </w:r>
    </w:p>
    <w:p w14:paraId="62BE845A" w14:textId="77777777" w:rsidR="001E5577" w:rsidRPr="00D8782F" w:rsidRDefault="001E5577" w:rsidP="00D8782F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14:paraId="11398647" w14:textId="32925692" w:rsidR="00537A82" w:rsidRPr="000C7686" w:rsidRDefault="00FB25E6" w:rsidP="00D8782F">
      <w:pPr>
        <w:spacing w:line="276" w:lineRule="auto"/>
        <w:rPr>
          <w:rFonts w:eastAsia="Batang"/>
          <w:iCs/>
          <w:color w:val="000000"/>
          <w:sz w:val="21"/>
          <w:szCs w:val="21"/>
        </w:rPr>
      </w:pPr>
      <w:r w:rsidRPr="000C7686">
        <w:rPr>
          <w:b/>
          <w:i/>
          <w:color w:val="auto"/>
          <w:sz w:val="21"/>
          <w:szCs w:val="21"/>
        </w:rPr>
        <w:t>Seul, Korea/Neu-Isenburg, Niemcy, 1</w:t>
      </w:r>
      <w:r w:rsidR="001B4DA5">
        <w:rPr>
          <w:b/>
          <w:i/>
          <w:color w:val="auto"/>
          <w:sz w:val="21"/>
          <w:szCs w:val="21"/>
        </w:rPr>
        <w:t>9</w:t>
      </w:r>
      <w:r w:rsidRPr="000C7686">
        <w:rPr>
          <w:b/>
          <w:i/>
          <w:color w:val="auto"/>
          <w:sz w:val="21"/>
          <w:szCs w:val="21"/>
        </w:rPr>
        <w:t xml:space="preserve"> lutego 2019 r.</w:t>
      </w:r>
      <w:r w:rsidRPr="000C7686">
        <w:rPr>
          <w:color w:val="auto"/>
          <w:sz w:val="21"/>
          <w:szCs w:val="21"/>
        </w:rPr>
        <w:t xml:space="preserve"> </w:t>
      </w:r>
      <w:r w:rsidRPr="000C7686">
        <w:rPr>
          <w:iCs/>
          <w:color w:val="000000"/>
          <w:sz w:val="21"/>
          <w:szCs w:val="21"/>
        </w:rPr>
        <w:t xml:space="preserve">– producent opon klasy premium – firma Hankook – przedstawiła swój wynik finansowy za rok obrotowy 2018. W okresie sprawozdawczym przedsiębiorstwo osiągnęło globalny obrót rzędu 6,79 biliona KRW (w przeliczeniu ok. 5,23 mld euro) oraz wyniki operacyjne na poziomie 703,7 mld KRW (w przeliczeniu ok. 541,9 mln euro). </w:t>
      </w:r>
    </w:p>
    <w:p w14:paraId="341D8AC2" w14:textId="77777777" w:rsidR="006D2055" w:rsidRPr="00D8782F" w:rsidRDefault="006D2055" w:rsidP="00D8782F">
      <w:pPr>
        <w:spacing w:line="276" w:lineRule="auto"/>
        <w:rPr>
          <w:rFonts w:eastAsia="Batang"/>
          <w:iCs/>
          <w:color w:val="000000"/>
          <w:sz w:val="21"/>
          <w:szCs w:val="21"/>
          <w:highlight w:val="yellow"/>
          <w:lang w:eastAsia="ko-KR" w:bidi="ar-SA"/>
        </w:rPr>
      </w:pPr>
    </w:p>
    <w:p w14:paraId="0BAF202E" w14:textId="7D8B0E88" w:rsidR="00240A24" w:rsidRDefault="00240A24" w:rsidP="00D8782F">
      <w:pPr>
        <w:spacing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Dzię</w:t>
      </w:r>
      <w:r w:rsidR="002765AC">
        <w:rPr>
          <w:bCs/>
          <w:sz w:val="21"/>
          <w:szCs w:val="21"/>
        </w:rPr>
        <w:t>ki nowoczesnym technologiom i</w:t>
      </w:r>
      <w:r>
        <w:rPr>
          <w:bCs/>
          <w:sz w:val="21"/>
          <w:szCs w:val="21"/>
        </w:rPr>
        <w:t xml:space="preserve"> najwyższej jakości produktów, sprzedaż </w:t>
      </w:r>
      <w:r w:rsidR="009B15D9">
        <w:rPr>
          <w:bCs/>
          <w:sz w:val="21"/>
          <w:szCs w:val="21"/>
        </w:rPr>
        <w:t xml:space="preserve">opon powyżej 18 cali na terenie Europy  i USA wzrosła o 3,9% względem poprzedniego roku i stanowiła 52,3% sprzedaży wszystkich opon do pojazdów osobowych.  </w:t>
      </w:r>
    </w:p>
    <w:p w14:paraId="58723723" w14:textId="77777777" w:rsidR="00240A24" w:rsidRDefault="00240A24" w:rsidP="00D8782F">
      <w:pPr>
        <w:spacing w:line="276" w:lineRule="auto"/>
        <w:rPr>
          <w:bCs/>
          <w:sz w:val="21"/>
          <w:szCs w:val="21"/>
        </w:rPr>
      </w:pPr>
    </w:p>
    <w:p w14:paraId="28F7F6BE" w14:textId="6AA37F6E" w:rsidR="009B15D9" w:rsidRDefault="0044704A" w:rsidP="00D8782F">
      <w:pPr>
        <w:spacing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S</w:t>
      </w:r>
      <w:r w:rsidR="009B15D9">
        <w:rPr>
          <w:bCs/>
          <w:sz w:val="21"/>
          <w:szCs w:val="21"/>
        </w:rPr>
        <w:t xml:space="preserve">przedaż na rynku części zamiennych oraz </w:t>
      </w:r>
      <w:r>
        <w:rPr>
          <w:bCs/>
          <w:sz w:val="21"/>
          <w:szCs w:val="21"/>
        </w:rPr>
        <w:t xml:space="preserve">sprzedaż opon o wysokich osadzeniach rosła zwłaszcza w czwartym kwartale. Przyczyniły się do tego: optymalizacja kanałów dystrybucyjnych w Korei,  wzrost sprzedaży opon na pierwsze wyposażenie dla pojazdów typu SUV oraz wzrost sprzedaży japońskich samochodów w Ameryce Północnej.   </w:t>
      </w:r>
    </w:p>
    <w:p w14:paraId="60CA7E88" w14:textId="77777777" w:rsidR="009B15D9" w:rsidRDefault="009B15D9" w:rsidP="00D8782F">
      <w:pPr>
        <w:spacing w:line="276" w:lineRule="auto"/>
        <w:rPr>
          <w:bCs/>
          <w:sz w:val="21"/>
          <w:szCs w:val="21"/>
        </w:rPr>
      </w:pPr>
    </w:p>
    <w:p w14:paraId="173872D5" w14:textId="2EFF5602" w:rsidR="0089325B" w:rsidRDefault="0050441A" w:rsidP="00D8782F">
      <w:pPr>
        <w:spacing w:line="276" w:lineRule="auto"/>
        <w:rPr>
          <w:bCs/>
          <w:sz w:val="21"/>
          <w:szCs w:val="21"/>
        </w:rPr>
      </w:pPr>
      <w:r w:rsidRPr="000C7686">
        <w:rPr>
          <w:bCs/>
          <w:sz w:val="21"/>
          <w:szCs w:val="21"/>
        </w:rPr>
        <w:t>Ogólny</w:t>
      </w:r>
      <w:r w:rsidR="00456BAD">
        <w:rPr>
          <w:bCs/>
          <w:sz w:val="21"/>
          <w:szCs w:val="21"/>
        </w:rPr>
        <w:t xml:space="preserve"> spadek popytu na globalnych  rynkach motoryzacyjnych </w:t>
      </w:r>
      <w:r w:rsidR="009A3960">
        <w:rPr>
          <w:bCs/>
          <w:sz w:val="21"/>
          <w:szCs w:val="21"/>
        </w:rPr>
        <w:t>takich jak Chiny</w:t>
      </w:r>
      <w:r w:rsidR="00456BAD">
        <w:rPr>
          <w:bCs/>
          <w:sz w:val="21"/>
          <w:szCs w:val="21"/>
        </w:rPr>
        <w:t xml:space="preserve">, przełożył się na wyniki sprzedaży </w:t>
      </w:r>
      <w:r w:rsidR="0089325B">
        <w:rPr>
          <w:bCs/>
          <w:sz w:val="21"/>
          <w:szCs w:val="21"/>
        </w:rPr>
        <w:t>opon na rynku części zamiennych oraz opon na pierwszy montaż, co negatywnie wpły</w:t>
      </w:r>
      <w:r w:rsidR="009A3960">
        <w:rPr>
          <w:bCs/>
          <w:sz w:val="21"/>
          <w:szCs w:val="21"/>
        </w:rPr>
        <w:t xml:space="preserve">nęło na ogólne wyniki finansowe. </w:t>
      </w:r>
    </w:p>
    <w:p w14:paraId="1143D4DC" w14:textId="77777777" w:rsidR="0089325B" w:rsidRDefault="0089325B" w:rsidP="00D8782F">
      <w:pPr>
        <w:spacing w:line="276" w:lineRule="auto"/>
        <w:rPr>
          <w:bCs/>
          <w:sz w:val="21"/>
          <w:szCs w:val="21"/>
        </w:rPr>
      </w:pPr>
    </w:p>
    <w:p w14:paraId="7185D7AC" w14:textId="77777777" w:rsidR="00F526EA" w:rsidRDefault="00F7126F" w:rsidP="00D8782F">
      <w:pPr>
        <w:spacing w:line="276" w:lineRule="auto"/>
        <w:rPr>
          <w:sz w:val="21"/>
        </w:rPr>
      </w:pPr>
      <w:r w:rsidRPr="000C7686">
        <w:rPr>
          <w:sz w:val="21"/>
        </w:rPr>
        <w:t xml:space="preserve">W roku obrotowym 2019 producent opon Hankook zamierza osiągnąć obroty w wysokości 7,4 biliona KRW, </w:t>
      </w:r>
    </w:p>
    <w:p w14:paraId="296A4B65" w14:textId="1358673C" w:rsidR="00F7126F" w:rsidRPr="000C7686" w:rsidRDefault="00F7126F" w:rsidP="00D8782F">
      <w:pPr>
        <w:spacing w:line="276" w:lineRule="auto"/>
        <w:rPr>
          <w:bCs/>
          <w:sz w:val="21"/>
          <w:szCs w:val="21"/>
        </w:rPr>
      </w:pPr>
      <w:r w:rsidRPr="000C7686">
        <w:rPr>
          <w:sz w:val="21"/>
        </w:rPr>
        <w:t>a wyniki operacyjne w wysokości 750 mld KRW. W tym celu producent opon chce umocnić swoją pozycję jako marka premium</w:t>
      </w:r>
      <w:r w:rsidR="00F526EA">
        <w:rPr>
          <w:sz w:val="21"/>
        </w:rPr>
        <w:t xml:space="preserve">, szczególnie poprzez rozwój sprzedaży opon </w:t>
      </w:r>
      <w:r w:rsidRPr="000C7686">
        <w:rPr>
          <w:sz w:val="21"/>
        </w:rPr>
        <w:t xml:space="preserve"> </w:t>
      </w:r>
      <w:r w:rsidR="00F526EA">
        <w:rPr>
          <w:sz w:val="21"/>
        </w:rPr>
        <w:t xml:space="preserve">o średnicy </w:t>
      </w:r>
      <w:r w:rsidRPr="000C7686">
        <w:rPr>
          <w:sz w:val="21"/>
        </w:rPr>
        <w:t xml:space="preserve">powyżej </w:t>
      </w:r>
      <w:r w:rsidRPr="000C7686">
        <w:rPr>
          <w:bCs/>
          <w:sz w:val="21"/>
          <w:szCs w:val="21"/>
        </w:rPr>
        <w:t xml:space="preserve">18 cali, </w:t>
      </w:r>
      <w:r w:rsidR="00F526EA">
        <w:rPr>
          <w:bCs/>
          <w:sz w:val="21"/>
          <w:szCs w:val="21"/>
        </w:rPr>
        <w:t xml:space="preserve"> dostarczanie opona na pierwszy montaż dla producentów </w:t>
      </w:r>
      <w:r w:rsidRPr="000C7686">
        <w:rPr>
          <w:bCs/>
          <w:sz w:val="21"/>
          <w:szCs w:val="21"/>
        </w:rPr>
        <w:t>klasy premium i zwiększenie konkurencyjności linii produktów premium. Firma Hankook planuje także poszerzenie portfolio w zakresie oryginalnego wy</w:t>
      </w:r>
      <w:r w:rsidR="00F526EA">
        <w:rPr>
          <w:bCs/>
          <w:sz w:val="21"/>
          <w:szCs w:val="21"/>
        </w:rPr>
        <w:t xml:space="preserve">posażenia celem zapewnienia stabilnej struktury wzrostu, a także </w:t>
      </w:r>
      <w:r w:rsidR="002765AC">
        <w:rPr>
          <w:bCs/>
          <w:sz w:val="21"/>
          <w:szCs w:val="21"/>
        </w:rPr>
        <w:t>zoptymalizowanie</w:t>
      </w:r>
      <w:r w:rsidR="00F526EA">
        <w:rPr>
          <w:bCs/>
          <w:sz w:val="21"/>
          <w:szCs w:val="21"/>
        </w:rPr>
        <w:t xml:space="preserve">  </w:t>
      </w:r>
      <w:r w:rsidR="002765AC">
        <w:rPr>
          <w:bCs/>
          <w:sz w:val="21"/>
          <w:szCs w:val="21"/>
        </w:rPr>
        <w:t>strategii</w:t>
      </w:r>
      <w:r w:rsidRPr="000C7686">
        <w:rPr>
          <w:bCs/>
          <w:sz w:val="21"/>
          <w:szCs w:val="21"/>
        </w:rPr>
        <w:t xml:space="preserve"> dystrybucji </w:t>
      </w:r>
      <w:r w:rsidR="00F526EA">
        <w:rPr>
          <w:bCs/>
          <w:sz w:val="21"/>
          <w:szCs w:val="21"/>
        </w:rPr>
        <w:t xml:space="preserve">w poszczególnych regionach. </w:t>
      </w:r>
    </w:p>
    <w:p w14:paraId="26518045" w14:textId="4C46D386" w:rsidR="00F7126F" w:rsidRPr="00D8782F" w:rsidRDefault="00F7126F" w:rsidP="00D8782F">
      <w:pPr>
        <w:spacing w:line="276" w:lineRule="auto"/>
        <w:rPr>
          <w:bCs/>
          <w:sz w:val="21"/>
          <w:szCs w:val="21"/>
        </w:rPr>
      </w:pPr>
    </w:p>
    <w:p w14:paraId="1BE8F5B2" w14:textId="77777777" w:rsidR="002765AC" w:rsidRDefault="005C5104" w:rsidP="00D8782F">
      <w:pPr>
        <w:spacing w:line="276" w:lineRule="auto"/>
        <w:rPr>
          <w:bCs/>
          <w:sz w:val="21"/>
          <w:szCs w:val="21"/>
        </w:rPr>
      </w:pPr>
      <w:r w:rsidRPr="000C7686">
        <w:rPr>
          <w:bCs/>
          <w:sz w:val="21"/>
          <w:szCs w:val="21"/>
        </w:rPr>
        <w:t>Aby móc efektywnie współpracować w stale zmieniają</w:t>
      </w:r>
      <w:r w:rsidR="002765AC">
        <w:rPr>
          <w:bCs/>
          <w:sz w:val="21"/>
          <w:szCs w:val="21"/>
        </w:rPr>
        <w:t xml:space="preserve">cym się środowisku przemysłowym i wzmacniać pozycję </w:t>
      </w:r>
      <w:r w:rsidRPr="000C7686">
        <w:rPr>
          <w:bCs/>
          <w:sz w:val="21"/>
          <w:szCs w:val="21"/>
        </w:rPr>
        <w:t xml:space="preserve"> </w:t>
      </w:r>
    </w:p>
    <w:p w14:paraId="21E6AC3C" w14:textId="35C99182" w:rsidR="00F7126F" w:rsidRPr="000C7686" w:rsidRDefault="002765AC" w:rsidP="00D8782F">
      <w:pPr>
        <w:spacing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w czołówce globalnych producentów opon, Hankook stawia na pracowników</w:t>
      </w:r>
      <w:r w:rsidR="005C5104" w:rsidRPr="000C7686">
        <w:rPr>
          <w:bCs/>
          <w:sz w:val="21"/>
          <w:szCs w:val="21"/>
        </w:rPr>
        <w:t xml:space="preserve"> </w:t>
      </w:r>
      <w:r w:rsidR="00F526EA">
        <w:rPr>
          <w:bCs/>
          <w:sz w:val="21"/>
          <w:szCs w:val="21"/>
        </w:rPr>
        <w:t>stale</w:t>
      </w:r>
      <w:r w:rsidR="005C5104" w:rsidRPr="000C7686">
        <w:rPr>
          <w:bCs/>
          <w:sz w:val="21"/>
          <w:szCs w:val="21"/>
        </w:rPr>
        <w:t xml:space="preserve"> </w:t>
      </w:r>
      <w:r w:rsidR="00F526EA">
        <w:rPr>
          <w:bCs/>
          <w:sz w:val="21"/>
          <w:szCs w:val="21"/>
        </w:rPr>
        <w:t>wzmacniania</w:t>
      </w:r>
      <w:r>
        <w:rPr>
          <w:bCs/>
          <w:sz w:val="21"/>
          <w:szCs w:val="21"/>
        </w:rPr>
        <w:t>jąc</w:t>
      </w:r>
      <w:r w:rsidR="00F526EA">
        <w:rPr>
          <w:bCs/>
          <w:sz w:val="21"/>
          <w:szCs w:val="21"/>
        </w:rPr>
        <w:t xml:space="preserve"> szybko rozwijającą się  i elastyczną</w:t>
      </w:r>
      <w:r w:rsidR="005C5104" w:rsidRPr="000C7686">
        <w:rPr>
          <w:bCs/>
          <w:sz w:val="21"/>
          <w:szCs w:val="21"/>
        </w:rPr>
        <w:t xml:space="preserve"> </w:t>
      </w:r>
      <w:r w:rsidR="00F526EA">
        <w:rPr>
          <w:bCs/>
          <w:sz w:val="21"/>
          <w:szCs w:val="21"/>
        </w:rPr>
        <w:t>kulturę  korporacyjną</w:t>
      </w:r>
      <w:r>
        <w:rPr>
          <w:bCs/>
          <w:sz w:val="21"/>
          <w:szCs w:val="21"/>
        </w:rPr>
        <w:t>.</w:t>
      </w:r>
    </w:p>
    <w:p w14:paraId="27BC8AC9" w14:textId="77777777" w:rsidR="00E00CB3" w:rsidRPr="00D8782F" w:rsidRDefault="00E00CB3" w:rsidP="00D8782F">
      <w:pPr>
        <w:spacing w:line="276" w:lineRule="auto"/>
        <w:rPr>
          <w:bCs/>
          <w:sz w:val="21"/>
          <w:szCs w:val="21"/>
        </w:rPr>
      </w:pPr>
    </w:p>
    <w:p w14:paraId="439D85F2" w14:textId="77777777" w:rsidR="004D76A2" w:rsidRPr="00D8782F" w:rsidRDefault="004D76A2" w:rsidP="00D8782F">
      <w:pPr>
        <w:spacing w:line="276" w:lineRule="auto"/>
        <w:rPr>
          <w:bCs/>
          <w:sz w:val="21"/>
          <w:szCs w:val="21"/>
        </w:rPr>
      </w:pPr>
    </w:p>
    <w:p w14:paraId="0D287FC4" w14:textId="2C8910B5" w:rsidR="004D76A2" w:rsidRPr="000C7686" w:rsidRDefault="005C5104" w:rsidP="00D8782F">
      <w:pPr>
        <w:spacing w:line="276" w:lineRule="auto"/>
        <w:jc w:val="center"/>
        <w:rPr>
          <w:bCs/>
          <w:sz w:val="21"/>
          <w:szCs w:val="21"/>
        </w:rPr>
      </w:pPr>
      <w:r w:rsidRPr="000C7686">
        <w:rPr>
          <w:bCs/>
          <w:sz w:val="21"/>
          <w:szCs w:val="21"/>
          <w:lang w:val="de-DE"/>
        </w:rPr>
        <w:t>###</w:t>
      </w:r>
    </w:p>
    <w:p w14:paraId="65BA366D" w14:textId="77777777" w:rsidR="004D76A2" w:rsidRPr="000C7686" w:rsidRDefault="004D76A2" w:rsidP="006D2055">
      <w:pPr>
        <w:spacing w:line="360" w:lineRule="auto"/>
        <w:rPr>
          <w:bCs/>
          <w:sz w:val="21"/>
          <w:szCs w:val="21"/>
          <w:lang w:val="de-DE"/>
        </w:rPr>
      </w:pPr>
    </w:p>
    <w:p w14:paraId="33C6E497" w14:textId="77777777" w:rsidR="004D76A2" w:rsidRPr="000C7686" w:rsidRDefault="004D76A2" w:rsidP="006D2055">
      <w:pPr>
        <w:spacing w:line="360" w:lineRule="auto"/>
        <w:rPr>
          <w:bCs/>
          <w:sz w:val="21"/>
          <w:szCs w:val="21"/>
          <w:lang w:val="de-DE"/>
        </w:rPr>
      </w:pPr>
    </w:p>
    <w:p w14:paraId="41D1FF92" w14:textId="10CB1375" w:rsidR="00D8782F" w:rsidRDefault="00D8782F">
      <w:pPr>
        <w:widowControl/>
        <w:suppressAutoHyphens w:val="0"/>
        <w:jc w:val="left"/>
        <w:rPr>
          <w:bCs/>
          <w:sz w:val="21"/>
          <w:szCs w:val="21"/>
          <w:lang w:val="de-DE"/>
        </w:rPr>
      </w:pPr>
      <w:r>
        <w:rPr>
          <w:bCs/>
          <w:sz w:val="21"/>
          <w:szCs w:val="21"/>
          <w:lang w:val="de-DE"/>
        </w:rPr>
        <w:br w:type="page"/>
      </w:r>
    </w:p>
    <w:p w14:paraId="59B62ED1" w14:textId="77777777" w:rsidR="004D76A2" w:rsidRPr="000C7686" w:rsidRDefault="004D76A2" w:rsidP="006D2055">
      <w:pPr>
        <w:spacing w:line="360" w:lineRule="auto"/>
        <w:rPr>
          <w:bCs/>
          <w:sz w:val="21"/>
          <w:szCs w:val="21"/>
          <w:lang w:val="de-DE"/>
        </w:rPr>
      </w:pPr>
    </w:p>
    <w:p w14:paraId="5DD64E39" w14:textId="77777777" w:rsidR="005C5104" w:rsidRPr="000C7686" w:rsidRDefault="005C5104" w:rsidP="006D2055">
      <w:pPr>
        <w:spacing w:line="360" w:lineRule="auto"/>
        <w:rPr>
          <w:bCs/>
          <w:sz w:val="21"/>
          <w:szCs w:val="21"/>
          <w:lang w:val="de-DE"/>
        </w:rPr>
      </w:pPr>
    </w:p>
    <w:p w14:paraId="30465D34" w14:textId="77777777" w:rsidR="004D76A2" w:rsidRPr="000C7686" w:rsidRDefault="004D76A2" w:rsidP="006D2055">
      <w:pPr>
        <w:spacing w:line="360" w:lineRule="auto"/>
        <w:rPr>
          <w:bCs/>
          <w:sz w:val="21"/>
          <w:szCs w:val="21"/>
          <w:lang w:val="de-DE"/>
        </w:rPr>
      </w:pPr>
    </w:p>
    <w:p w14:paraId="2036A84B" w14:textId="77777777" w:rsidR="001B3FB4" w:rsidRPr="000C7686" w:rsidRDefault="001B3FB4" w:rsidP="001B3FB4">
      <w:pPr>
        <w:widowControl/>
        <w:jc w:val="left"/>
        <w:rPr>
          <w:rFonts w:asciiTheme="minorBidi" w:hAnsiTheme="minorBidi" w:cstheme="minorBidi"/>
          <w:b/>
          <w:sz w:val="22"/>
          <w:szCs w:val="22"/>
        </w:rPr>
      </w:pPr>
      <w:r w:rsidRPr="000C7686">
        <w:rPr>
          <w:rFonts w:asciiTheme="minorBidi" w:hAnsiTheme="minorBidi"/>
          <w:b/>
          <w:sz w:val="22"/>
          <w:szCs w:val="22"/>
          <w:lang w:val="de-DE"/>
        </w:rPr>
        <w:t xml:space="preserve">Q4 2018 Consolidated Financial </w:t>
      </w:r>
      <w:proofErr w:type="spellStart"/>
      <w:r w:rsidRPr="000C7686">
        <w:rPr>
          <w:rFonts w:asciiTheme="minorBidi" w:hAnsiTheme="minorBidi"/>
          <w:b/>
          <w:sz w:val="22"/>
          <w:szCs w:val="22"/>
          <w:lang w:val="de-DE"/>
        </w:rPr>
        <w:t>Result</w:t>
      </w:r>
      <w:proofErr w:type="spellEnd"/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98"/>
        <w:gridCol w:w="2599"/>
        <w:gridCol w:w="2599"/>
      </w:tblGrid>
      <w:tr w:rsidR="001B3FB4" w:rsidRPr="000C7686" w14:paraId="0C2847A3" w14:textId="77777777" w:rsidTr="00021D50">
        <w:trPr>
          <w:trHeight w:val="342"/>
        </w:trPr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BE3139E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(Unit: Billion KRW)</w:t>
            </w:r>
          </w:p>
        </w:tc>
        <w:tc>
          <w:tcPr>
            <w:tcW w:w="25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1749474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2017</w:t>
            </w:r>
          </w:p>
        </w:tc>
        <w:tc>
          <w:tcPr>
            <w:tcW w:w="25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706FE9F3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Q3 FY 2018</w:t>
            </w: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106EF7E2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2018</w:t>
            </w:r>
          </w:p>
        </w:tc>
      </w:tr>
      <w:tr w:rsidR="001B3FB4" w:rsidRPr="000C7686" w14:paraId="2F4A315E" w14:textId="77777777" w:rsidTr="00021D50">
        <w:trPr>
          <w:trHeight w:val="342"/>
        </w:trPr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50E3FA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686">
              <w:rPr>
                <w:rFonts w:ascii="Times New Roman" w:hAnsi="Times New Roman"/>
                <w:b/>
                <w:color w:val="000000" w:themeColor="text1"/>
                <w:lang w:val="de-DE"/>
              </w:rPr>
              <w:t>Sales</w:t>
            </w:r>
          </w:p>
        </w:tc>
        <w:tc>
          <w:tcPr>
            <w:tcW w:w="25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46A44B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bCs/>
                <w:color w:val="000000"/>
                <w:lang w:val="de-DE"/>
              </w:rPr>
              <w:t>1,682.30</w:t>
            </w:r>
          </w:p>
        </w:tc>
        <w:tc>
          <w:tcPr>
            <w:tcW w:w="2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19AD1C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bCs/>
                <w:color w:val="000000"/>
                <w:lang w:val="de-DE"/>
              </w:rPr>
              <w:t>1,755.40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B12E78F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bCs/>
                <w:color w:val="000000"/>
                <w:lang w:val="de-DE"/>
              </w:rPr>
              <w:t>1,725.60</w:t>
            </w:r>
          </w:p>
        </w:tc>
      </w:tr>
      <w:tr w:rsidR="001B3FB4" w:rsidRPr="000C7686" w14:paraId="120E5ACB" w14:textId="77777777" w:rsidTr="00021D50">
        <w:trPr>
          <w:trHeight w:val="342"/>
        </w:trPr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4C54A383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686">
              <w:rPr>
                <w:rFonts w:ascii="Times New Roman" w:hAnsi="Times New Roman"/>
                <w:b/>
                <w:color w:val="000000" w:themeColor="text1"/>
                <w:lang w:val="de-DE"/>
              </w:rPr>
              <w:t>Operating Profit</w:t>
            </w:r>
          </w:p>
        </w:tc>
        <w:tc>
          <w:tcPr>
            <w:tcW w:w="2598" w:type="dxa"/>
            <w:tcBorders>
              <w:right w:val="double" w:sz="4" w:space="0" w:color="auto"/>
            </w:tcBorders>
            <w:vAlign w:val="center"/>
          </w:tcPr>
          <w:p w14:paraId="6611B38D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bCs/>
                <w:color w:val="000000"/>
                <w:lang w:val="de-DE"/>
              </w:rPr>
              <w:t>139.40</w:t>
            </w:r>
          </w:p>
        </w:tc>
        <w:tc>
          <w:tcPr>
            <w:tcW w:w="2599" w:type="dxa"/>
            <w:tcBorders>
              <w:right w:val="double" w:sz="4" w:space="0" w:color="auto"/>
            </w:tcBorders>
            <w:vAlign w:val="center"/>
          </w:tcPr>
          <w:p w14:paraId="502215B1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bCs/>
                <w:color w:val="000000"/>
                <w:lang w:val="de-DE"/>
              </w:rPr>
              <w:t>187.50</w:t>
            </w:r>
          </w:p>
        </w:tc>
        <w:tc>
          <w:tcPr>
            <w:tcW w:w="2599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6A70F9A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bCs/>
                <w:color w:val="000000"/>
                <w:lang w:val="de-DE"/>
              </w:rPr>
              <w:t>146.10</w:t>
            </w:r>
          </w:p>
        </w:tc>
      </w:tr>
    </w:tbl>
    <w:p w14:paraId="4BBDDB09" w14:textId="77777777" w:rsidR="001B3FB4" w:rsidRPr="000C7686" w:rsidRDefault="001B3FB4" w:rsidP="001B3FB4">
      <w:pPr>
        <w:rPr>
          <w:color w:val="000000" w:themeColor="text1"/>
          <w:sz w:val="22"/>
          <w:szCs w:val="22"/>
          <w:lang w:val="de-DE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1B3FB4" w:rsidRPr="000C7686" w14:paraId="1BCEBF85" w14:textId="77777777" w:rsidTr="00021D50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4D88D870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(Unit: Million USD)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5E4174F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A5EE446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5684292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2018</w:t>
            </w:r>
          </w:p>
        </w:tc>
      </w:tr>
      <w:tr w:rsidR="001B3FB4" w:rsidRPr="000C7686" w14:paraId="2335C206" w14:textId="77777777" w:rsidTr="00021D50">
        <w:trPr>
          <w:trHeight w:val="363"/>
        </w:trPr>
        <w:tc>
          <w:tcPr>
            <w:tcW w:w="25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61B0B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86B02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1,521.5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E08C9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1,565.1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B3F7C9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1,530.5</w:t>
            </w:r>
          </w:p>
        </w:tc>
      </w:tr>
      <w:tr w:rsidR="001B3FB4" w:rsidRPr="000C7686" w14:paraId="75306CFE" w14:textId="77777777" w:rsidTr="00021D50">
        <w:trPr>
          <w:trHeight w:val="363"/>
        </w:trPr>
        <w:tc>
          <w:tcPr>
            <w:tcW w:w="2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0611826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85DF3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126.1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8D537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167.2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C8AA0C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129.6</w:t>
            </w:r>
          </w:p>
        </w:tc>
      </w:tr>
    </w:tbl>
    <w:p w14:paraId="5DD235EC" w14:textId="77777777" w:rsidR="001B3FB4" w:rsidRPr="000C7686" w:rsidRDefault="001B3FB4" w:rsidP="001B3FB4">
      <w:pPr>
        <w:rPr>
          <w:color w:val="FFFFFF" w:themeColor="background1"/>
          <w:lang w:val="de-DE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1B3FB4" w:rsidRPr="000C7686" w14:paraId="0B275DDA" w14:textId="77777777" w:rsidTr="00021D50">
        <w:trPr>
          <w:trHeight w:val="363"/>
        </w:trPr>
        <w:tc>
          <w:tcPr>
            <w:tcW w:w="25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46B7D11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(Unit: Million EUR)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AA9E951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2017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336890BC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Q3 FY 2018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4D853AA3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2018</w:t>
            </w:r>
          </w:p>
        </w:tc>
      </w:tr>
      <w:tr w:rsidR="001B3FB4" w:rsidRPr="000C7686" w14:paraId="476C5026" w14:textId="77777777" w:rsidTr="00021D50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48377C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547DE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1,292.3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22F5DB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1,345.9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3E8B21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1,341.4</w:t>
            </w:r>
          </w:p>
        </w:tc>
      </w:tr>
      <w:tr w:rsidR="001B3FB4" w:rsidRPr="000C7686" w14:paraId="48085980" w14:textId="77777777" w:rsidTr="00021D50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14:paraId="214B8F82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D2F90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107.1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A69023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143.8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F46D0C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113.6</w:t>
            </w:r>
          </w:p>
        </w:tc>
      </w:tr>
    </w:tbl>
    <w:p w14:paraId="035E4BF6" w14:textId="77777777" w:rsidR="001B3FB4" w:rsidRPr="000C7686" w:rsidRDefault="001B3FB4" w:rsidP="001B3FB4">
      <w:pPr>
        <w:snapToGrid w:val="0"/>
        <w:ind w:leftChars="71" w:left="142" w:rightChars="56" w:right="112"/>
        <w:rPr>
          <w:sz w:val="22"/>
          <w:szCs w:val="22"/>
          <w:lang w:val="de-DE"/>
        </w:rPr>
      </w:pPr>
    </w:p>
    <w:p w14:paraId="5394C248" w14:textId="77777777" w:rsidR="001B3FB4" w:rsidRPr="000C7686" w:rsidRDefault="001B3FB4" w:rsidP="001B3FB4">
      <w:pPr>
        <w:snapToGrid w:val="0"/>
        <w:ind w:leftChars="71" w:left="142" w:rightChars="56" w:right="112"/>
        <w:rPr>
          <w:b/>
          <w:i/>
          <w:sz w:val="22"/>
          <w:szCs w:val="22"/>
        </w:rPr>
      </w:pPr>
      <w:r w:rsidRPr="000C7686">
        <w:rPr>
          <w:b/>
          <w:i/>
          <w:sz w:val="22"/>
          <w:szCs w:val="22"/>
          <w:lang w:val="de-DE"/>
        </w:rPr>
        <w:t>*Exchange Rates:</w:t>
      </w: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1B3FB4" w:rsidRPr="000C7686" w14:paraId="7345B1E8" w14:textId="77777777" w:rsidTr="00021D50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CEE1A8D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257D5742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5489561E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33B9A041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7686">
              <w:rPr>
                <w:rFonts w:ascii="Times New Roman" w:hAnsi="Times New Roman"/>
                <w:b/>
                <w:color w:val="FFFFFF" w:themeColor="background1"/>
                <w:lang w:val="de-DE"/>
              </w:rPr>
              <w:t>Q4 FY 2018</w:t>
            </w:r>
          </w:p>
        </w:tc>
      </w:tr>
      <w:tr w:rsidR="001B3FB4" w:rsidRPr="000C7686" w14:paraId="7EE8A451" w14:textId="77777777" w:rsidTr="00021D50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C6F862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USD / KRW</w:t>
            </w:r>
          </w:p>
        </w:tc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</w:tcPr>
          <w:p w14:paraId="13339F0C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1,105.7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6941DD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1,121.6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7107F18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1,127.5</w:t>
            </w:r>
          </w:p>
        </w:tc>
      </w:tr>
      <w:tr w:rsidR="001B3FB4" w:rsidRPr="000C7686" w14:paraId="58B8FAE7" w14:textId="77777777" w:rsidTr="00021D50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14:paraId="3DF4A725" w14:textId="77777777" w:rsidR="001B3FB4" w:rsidRPr="000C7686" w:rsidRDefault="001B3FB4" w:rsidP="00021D50">
            <w:pPr>
              <w:snapToGrid w:val="0"/>
              <w:ind w:rightChars="56" w:right="112"/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EUR / KRW</w:t>
            </w:r>
          </w:p>
        </w:tc>
        <w:tc>
          <w:tcPr>
            <w:tcW w:w="2587" w:type="dxa"/>
            <w:tcBorders>
              <w:right w:val="double" w:sz="4" w:space="0" w:color="auto"/>
            </w:tcBorders>
          </w:tcPr>
          <w:p w14:paraId="6DBD09AF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1,301.8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297736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1,304.3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vAlign w:val="center"/>
          </w:tcPr>
          <w:p w14:paraId="39CF172D" w14:textId="77777777" w:rsidR="001B3FB4" w:rsidRPr="000C7686" w:rsidRDefault="001B3FB4" w:rsidP="00021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86">
              <w:rPr>
                <w:rFonts w:ascii="Times New Roman" w:hAnsi="Times New Roman"/>
                <w:b/>
                <w:lang w:val="de-DE"/>
              </w:rPr>
              <w:t>1,286.4</w:t>
            </w:r>
          </w:p>
        </w:tc>
      </w:tr>
    </w:tbl>
    <w:p w14:paraId="4B7E5CCA" w14:textId="77777777" w:rsidR="001B3FB4" w:rsidRPr="000C7686" w:rsidRDefault="001B3FB4" w:rsidP="001B3FB4">
      <w:pPr>
        <w:widowControl/>
        <w:spacing w:line="207" w:lineRule="atLeast"/>
        <w:ind w:right="112"/>
        <w:jc w:val="left"/>
        <w:rPr>
          <w:rFonts w:eastAsia="Malgun Gothic"/>
          <w:b/>
          <w:bCs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49BA884D" w14:textId="77777777" w:rsidR="001B3FB4" w:rsidRPr="000C7686" w:rsidRDefault="001B3FB4" w:rsidP="001B3FB4">
      <w:pPr>
        <w:widowControl/>
        <w:spacing w:line="207" w:lineRule="atLeast"/>
        <w:ind w:right="112"/>
        <w:jc w:val="left"/>
        <w:rPr>
          <w:rFonts w:eastAsia="Malgun Gothic"/>
          <w:color w:val="000000" w:themeColor="text1"/>
          <w:sz w:val="22"/>
          <w:szCs w:val="22"/>
          <w:shd w:val="clear" w:color="auto" w:fill="FFFFFF" w:themeFill="background1"/>
        </w:rPr>
      </w:pPr>
      <w:r w:rsidRPr="000C7686">
        <w:rPr>
          <w:b/>
          <w:bCs/>
          <w:color w:val="000000" w:themeColor="text1"/>
          <w:sz w:val="22"/>
          <w:szCs w:val="22"/>
          <w:shd w:val="clear" w:color="auto" w:fill="FFFFFF" w:themeFill="background1"/>
          <w:lang w:val="de-DE"/>
        </w:rPr>
        <w:t xml:space="preserve">2018 Consolidated Financial </w:t>
      </w:r>
      <w:proofErr w:type="spellStart"/>
      <w:r w:rsidRPr="000C7686">
        <w:rPr>
          <w:b/>
          <w:bCs/>
          <w:color w:val="000000" w:themeColor="text1"/>
          <w:sz w:val="22"/>
          <w:szCs w:val="22"/>
          <w:shd w:val="clear" w:color="auto" w:fill="FFFFFF" w:themeFill="background1"/>
          <w:lang w:val="de-DE"/>
        </w:rPr>
        <w:t>Result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090"/>
        <w:gridCol w:w="3090"/>
      </w:tblGrid>
      <w:tr w:rsidR="001B3FB4" w:rsidRPr="000C7686" w14:paraId="38C317D8" w14:textId="77777777" w:rsidTr="00021D50">
        <w:trPr>
          <w:trHeight w:val="362"/>
        </w:trPr>
        <w:tc>
          <w:tcPr>
            <w:tcW w:w="2550" w:type="dxa"/>
            <w:shd w:val="clear" w:color="auto" w:fill="7F7F7F"/>
            <w:vAlign w:val="center"/>
            <w:hideMark/>
          </w:tcPr>
          <w:p w14:paraId="140BC06D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(Unit: Billion KRW)</w:t>
            </w:r>
          </w:p>
        </w:tc>
        <w:tc>
          <w:tcPr>
            <w:tcW w:w="3090" w:type="dxa"/>
            <w:shd w:val="clear" w:color="auto" w:fill="7F7F7F"/>
            <w:vAlign w:val="center"/>
          </w:tcPr>
          <w:p w14:paraId="21E1CFE5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2017</w:t>
            </w:r>
          </w:p>
        </w:tc>
        <w:tc>
          <w:tcPr>
            <w:tcW w:w="3090" w:type="dxa"/>
            <w:shd w:val="clear" w:color="auto" w:fill="7F7F7F"/>
            <w:vAlign w:val="center"/>
          </w:tcPr>
          <w:p w14:paraId="6EF143CE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b/>
                <w:bCs/>
                <w:color w:val="FFFFFF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2018</w:t>
            </w:r>
          </w:p>
        </w:tc>
      </w:tr>
      <w:tr w:rsidR="001B3FB4" w:rsidRPr="000C7686" w14:paraId="497E693B" w14:textId="77777777" w:rsidTr="00021D50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14:paraId="2F76836D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sz w:val="22"/>
                <w:szCs w:val="22"/>
                <w:lang w:val="de-DE"/>
              </w:rPr>
              <w:t>Sales</w:t>
            </w:r>
          </w:p>
        </w:tc>
        <w:tc>
          <w:tcPr>
            <w:tcW w:w="3090" w:type="dxa"/>
            <w:vAlign w:val="center"/>
          </w:tcPr>
          <w:p w14:paraId="709CAAC9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6,812.9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550D815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6,795.5</w:t>
            </w:r>
          </w:p>
        </w:tc>
      </w:tr>
      <w:tr w:rsidR="001B3FB4" w:rsidRPr="000C7686" w14:paraId="02454790" w14:textId="77777777" w:rsidTr="00021D50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14:paraId="1197E0D7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sz w:val="22"/>
                <w:szCs w:val="22"/>
                <w:lang w:val="de-DE"/>
              </w:rPr>
              <w:t>Operating Profit</w:t>
            </w:r>
          </w:p>
        </w:tc>
        <w:tc>
          <w:tcPr>
            <w:tcW w:w="3090" w:type="dxa"/>
            <w:vAlign w:val="center"/>
          </w:tcPr>
          <w:p w14:paraId="0A995ADF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793.4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83FCA6B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703.7</w:t>
            </w:r>
          </w:p>
        </w:tc>
      </w:tr>
    </w:tbl>
    <w:p w14:paraId="36D706E0" w14:textId="77777777" w:rsidR="001B3FB4" w:rsidRPr="000C7686" w:rsidRDefault="001B3FB4" w:rsidP="001B3FB4">
      <w:pPr>
        <w:widowControl/>
        <w:jc w:val="left"/>
        <w:rPr>
          <w:rFonts w:eastAsia="Gulim"/>
          <w:sz w:val="22"/>
          <w:szCs w:val="22"/>
        </w:rPr>
      </w:pPr>
      <w:r w:rsidRPr="000C7686">
        <w:rPr>
          <w:color w:val="500050"/>
          <w:sz w:val="22"/>
          <w:szCs w:val="22"/>
          <w:shd w:val="clear" w:color="auto" w:fill="FFFFFF"/>
          <w:lang w:val="de-DE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1B3FB4" w:rsidRPr="000C7686" w14:paraId="3D48043F" w14:textId="77777777" w:rsidTr="00021D50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722F959E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Malgun Gothic"/>
                <w:color w:val="222222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(Unit: Million USD)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268BC1DD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Malgun Gothic"/>
                <w:b/>
                <w:bCs/>
                <w:color w:val="FFFFFF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5A9911AD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Malgun Gothic"/>
                <w:b/>
                <w:color w:val="222222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2018</w:t>
            </w:r>
          </w:p>
        </w:tc>
      </w:tr>
      <w:tr w:rsidR="001B3FB4" w:rsidRPr="000C7686" w14:paraId="21F7FDEF" w14:textId="77777777" w:rsidTr="00021D50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0ED7BC08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Malgun Gothic"/>
                <w:color w:val="222222"/>
                <w:sz w:val="22"/>
                <w:szCs w:val="22"/>
              </w:rPr>
            </w:pPr>
            <w:r w:rsidRPr="000C7686">
              <w:rPr>
                <w:b/>
                <w:bCs/>
                <w:color w:val="222222"/>
                <w:sz w:val="22"/>
                <w:szCs w:val="22"/>
                <w:lang w:val="de-DE"/>
              </w:rPr>
              <w:t>Sales</w:t>
            </w:r>
          </w:p>
        </w:tc>
        <w:tc>
          <w:tcPr>
            <w:tcW w:w="3120" w:type="dxa"/>
          </w:tcPr>
          <w:p w14:paraId="05553BE7" w14:textId="77777777" w:rsidR="001B3FB4" w:rsidRPr="000C7686" w:rsidRDefault="001B3FB4" w:rsidP="00021D50">
            <w:pPr>
              <w:widowControl/>
              <w:jc w:val="center"/>
              <w:rPr>
                <w:rFonts w:eastAsia="Malgun Gothic"/>
                <w:b/>
                <w:bCs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6,024.6</w:t>
            </w:r>
          </w:p>
        </w:tc>
        <w:tc>
          <w:tcPr>
            <w:tcW w:w="3120" w:type="dxa"/>
            <w:shd w:val="clear" w:color="auto" w:fill="auto"/>
          </w:tcPr>
          <w:p w14:paraId="31E7BADA" w14:textId="77777777" w:rsidR="001B3FB4" w:rsidRPr="000C7686" w:rsidRDefault="001B3FB4" w:rsidP="00021D50">
            <w:pPr>
              <w:widowControl/>
              <w:jc w:val="center"/>
              <w:rPr>
                <w:rFonts w:eastAsia="Malgun Gothic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 xml:space="preserve">6,176.0 </w:t>
            </w:r>
          </w:p>
        </w:tc>
      </w:tr>
      <w:tr w:rsidR="001B3FB4" w:rsidRPr="000C7686" w14:paraId="3E49E76F" w14:textId="77777777" w:rsidTr="00021D50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41D59144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Malgun Gothic"/>
                <w:color w:val="222222"/>
                <w:sz w:val="22"/>
                <w:szCs w:val="22"/>
              </w:rPr>
            </w:pPr>
            <w:r w:rsidRPr="000C7686">
              <w:rPr>
                <w:b/>
                <w:bCs/>
                <w:color w:val="222222"/>
                <w:sz w:val="22"/>
                <w:szCs w:val="22"/>
                <w:lang w:val="de-DE"/>
              </w:rPr>
              <w:t>Operating Profit</w:t>
            </w:r>
          </w:p>
        </w:tc>
        <w:tc>
          <w:tcPr>
            <w:tcW w:w="3120" w:type="dxa"/>
          </w:tcPr>
          <w:p w14:paraId="3932B692" w14:textId="77777777" w:rsidR="001B3FB4" w:rsidRPr="000C7686" w:rsidRDefault="001B3FB4" w:rsidP="00021D50">
            <w:pPr>
              <w:widowControl/>
              <w:jc w:val="center"/>
              <w:rPr>
                <w:rFonts w:eastAsia="Malgun Gothic"/>
                <w:b/>
                <w:bCs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701.6</w:t>
            </w:r>
          </w:p>
        </w:tc>
        <w:tc>
          <w:tcPr>
            <w:tcW w:w="3120" w:type="dxa"/>
            <w:shd w:val="clear" w:color="auto" w:fill="auto"/>
          </w:tcPr>
          <w:p w14:paraId="6992C2D9" w14:textId="77777777" w:rsidR="001B3FB4" w:rsidRPr="000C7686" w:rsidRDefault="001B3FB4" w:rsidP="00021D50">
            <w:pPr>
              <w:widowControl/>
              <w:jc w:val="center"/>
              <w:rPr>
                <w:rFonts w:eastAsia="Malgun Gothic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sz w:val="22"/>
                <w:szCs w:val="22"/>
                <w:lang w:val="de-DE"/>
              </w:rPr>
              <w:t>639.6</w:t>
            </w:r>
          </w:p>
        </w:tc>
      </w:tr>
    </w:tbl>
    <w:p w14:paraId="344056AE" w14:textId="77777777" w:rsidR="001B3FB4" w:rsidRPr="000C7686" w:rsidRDefault="001B3FB4" w:rsidP="001B3FB4">
      <w:pPr>
        <w:widowControl/>
        <w:spacing w:line="207" w:lineRule="atLeast"/>
        <w:ind w:left="142" w:right="112"/>
        <w:jc w:val="left"/>
        <w:rPr>
          <w:rFonts w:eastAsia="Malgun Gothic"/>
          <w:color w:val="500050"/>
          <w:sz w:val="22"/>
          <w:szCs w:val="22"/>
          <w:shd w:val="clear" w:color="auto" w:fill="FFFFFF"/>
        </w:rPr>
      </w:pPr>
      <w:r w:rsidRPr="000C7686">
        <w:rPr>
          <w:color w:val="500050"/>
          <w:sz w:val="22"/>
          <w:szCs w:val="22"/>
          <w:shd w:val="clear" w:color="auto" w:fill="FFFFFF"/>
          <w:lang w:val="de-DE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1B3FB4" w:rsidRPr="000C7686" w14:paraId="6A7158CE" w14:textId="77777777" w:rsidTr="00021D50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234A2462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(Unit: Million EUR)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6E628EE7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561122D0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b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2018</w:t>
            </w:r>
          </w:p>
        </w:tc>
      </w:tr>
      <w:tr w:rsidR="001B3FB4" w:rsidRPr="000C7686" w14:paraId="255B9A51" w14:textId="77777777" w:rsidTr="00021D50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1968CF79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sz w:val="22"/>
                <w:szCs w:val="22"/>
                <w:lang w:val="de-DE"/>
              </w:rPr>
              <w:t>Sales</w:t>
            </w:r>
          </w:p>
        </w:tc>
        <w:tc>
          <w:tcPr>
            <w:tcW w:w="3120" w:type="dxa"/>
            <w:vAlign w:val="center"/>
          </w:tcPr>
          <w:p w14:paraId="64EC195D" w14:textId="77777777" w:rsidR="001B3FB4" w:rsidRPr="000C7686" w:rsidRDefault="001B3FB4" w:rsidP="00021D50">
            <w:pPr>
              <w:widowControl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5,337.6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95FEC5" w14:textId="77777777" w:rsidR="001B3FB4" w:rsidRPr="000C7686" w:rsidRDefault="001B3FB4" w:rsidP="00021D50">
            <w:pPr>
              <w:widowControl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5,232.8</w:t>
            </w:r>
          </w:p>
        </w:tc>
      </w:tr>
      <w:tr w:rsidR="001B3FB4" w:rsidRPr="000C7686" w14:paraId="4BB6ADFE" w14:textId="77777777" w:rsidTr="00021D50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463BEB98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sz w:val="22"/>
                <w:szCs w:val="22"/>
                <w:lang w:val="de-DE"/>
              </w:rPr>
              <w:t>Operating Profit</w:t>
            </w:r>
          </w:p>
        </w:tc>
        <w:tc>
          <w:tcPr>
            <w:tcW w:w="3120" w:type="dxa"/>
            <w:vAlign w:val="center"/>
          </w:tcPr>
          <w:p w14:paraId="03C9FBB7" w14:textId="77777777" w:rsidR="001B3FB4" w:rsidRPr="000C7686" w:rsidRDefault="001B3FB4" w:rsidP="00021D50">
            <w:pPr>
              <w:widowControl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621.6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6CA589E" w14:textId="77777777" w:rsidR="001B3FB4" w:rsidRPr="000C7686" w:rsidRDefault="001B3FB4" w:rsidP="00021D50">
            <w:pPr>
              <w:widowControl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541.9</w:t>
            </w:r>
          </w:p>
        </w:tc>
      </w:tr>
    </w:tbl>
    <w:p w14:paraId="3A3DC835" w14:textId="77777777" w:rsidR="001B3FB4" w:rsidRPr="000C7686" w:rsidRDefault="001B3FB4" w:rsidP="001B3FB4">
      <w:pPr>
        <w:widowControl/>
        <w:spacing w:line="207" w:lineRule="atLeast"/>
        <w:ind w:left="142" w:right="112"/>
        <w:jc w:val="left"/>
        <w:rPr>
          <w:rFonts w:eastAsia="Gulim"/>
          <w:sz w:val="22"/>
          <w:szCs w:val="22"/>
        </w:rPr>
      </w:pPr>
      <w:r w:rsidRPr="000C7686">
        <w:rPr>
          <w:color w:val="500050"/>
          <w:sz w:val="22"/>
          <w:szCs w:val="22"/>
          <w:shd w:val="clear" w:color="auto" w:fill="FFFFFF"/>
          <w:lang w:val="de-DE"/>
        </w:rPr>
        <w:t> </w:t>
      </w:r>
    </w:p>
    <w:p w14:paraId="6F367869" w14:textId="77777777" w:rsidR="001B3FB4" w:rsidRPr="000C7686" w:rsidRDefault="001B3FB4" w:rsidP="001B3FB4">
      <w:pPr>
        <w:widowControl/>
        <w:spacing w:line="207" w:lineRule="atLeast"/>
        <w:ind w:right="112"/>
        <w:jc w:val="left"/>
        <w:rPr>
          <w:rFonts w:eastAsia="Malgun Gothic"/>
          <w:color w:val="000000" w:themeColor="text1"/>
          <w:sz w:val="22"/>
          <w:szCs w:val="22"/>
          <w:shd w:val="clear" w:color="auto" w:fill="FFFFFF"/>
        </w:rPr>
      </w:pPr>
      <w:r w:rsidRPr="000C7686">
        <w:rPr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de-DE"/>
        </w:rPr>
        <w:t>*Exchange Rates: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1B3FB4" w:rsidRPr="000C7686" w14:paraId="47F91261" w14:textId="77777777" w:rsidTr="00021D50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17B64836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 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46FD0108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731D5955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b/>
                <w:sz w:val="22"/>
                <w:szCs w:val="22"/>
              </w:rPr>
            </w:pPr>
            <w:r w:rsidRPr="000C7686">
              <w:rPr>
                <w:b/>
                <w:bCs/>
                <w:color w:val="FFFFFF"/>
                <w:sz w:val="22"/>
                <w:szCs w:val="22"/>
                <w:lang w:val="de-DE"/>
              </w:rPr>
              <w:t>FY 2018</w:t>
            </w:r>
          </w:p>
        </w:tc>
      </w:tr>
      <w:tr w:rsidR="001B3FB4" w:rsidRPr="000C7686" w14:paraId="7BE23285" w14:textId="77777777" w:rsidTr="00021D50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394300DC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sz w:val="22"/>
                <w:szCs w:val="22"/>
                <w:lang w:val="de-DE"/>
              </w:rPr>
              <w:t>USD / KRW</w:t>
            </w:r>
          </w:p>
        </w:tc>
        <w:tc>
          <w:tcPr>
            <w:tcW w:w="3120" w:type="dxa"/>
            <w:vAlign w:val="center"/>
          </w:tcPr>
          <w:p w14:paraId="5A84C7CB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1,130.84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2F1A8B7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1,100.30</w:t>
            </w:r>
          </w:p>
        </w:tc>
      </w:tr>
      <w:tr w:rsidR="001B3FB4" w:rsidRPr="000C7686" w14:paraId="480789A3" w14:textId="77777777" w:rsidTr="00021D50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2FB90171" w14:textId="77777777" w:rsidR="001B3FB4" w:rsidRPr="000C7686" w:rsidRDefault="001B3FB4" w:rsidP="00021D50">
            <w:pPr>
              <w:widowControl/>
              <w:ind w:right="112"/>
              <w:jc w:val="center"/>
              <w:rPr>
                <w:rFonts w:eastAsia="Gulim"/>
                <w:sz w:val="22"/>
                <w:szCs w:val="22"/>
              </w:rPr>
            </w:pPr>
            <w:r w:rsidRPr="000C7686">
              <w:rPr>
                <w:b/>
                <w:bCs/>
                <w:sz w:val="22"/>
                <w:szCs w:val="22"/>
                <w:lang w:val="de-DE"/>
              </w:rPr>
              <w:t>EUR / KRW</w:t>
            </w:r>
          </w:p>
        </w:tc>
        <w:tc>
          <w:tcPr>
            <w:tcW w:w="3120" w:type="dxa"/>
            <w:vAlign w:val="center"/>
          </w:tcPr>
          <w:p w14:paraId="67791FE5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1,276.39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CC977D9" w14:textId="77777777" w:rsidR="001B3FB4" w:rsidRPr="000C7686" w:rsidRDefault="001B3FB4" w:rsidP="00021D50">
            <w:pPr>
              <w:widowControl/>
              <w:ind w:right="160"/>
              <w:jc w:val="center"/>
              <w:rPr>
                <w:rFonts w:eastAsia="Gulim"/>
                <w:b/>
                <w:color w:val="000000" w:themeColor="text1"/>
                <w:sz w:val="22"/>
                <w:szCs w:val="22"/>
              </w:rPr>
            </w:pPr>
            <w:r w:rsidRPr="000C7686">
              <w:rPr>
                <w:b/>
                <w:color w:val="000000" w:themeColor="text1"/>
                <w:sz w:val="22"/>
                <w:szCs w:val="22"/>
                <w:lang w:val="de-DE"/>
              </w:rPr>
              <w:t>1,298.63</w:t>
            </w:r>
          </w:p>
        </w:tc>
      </w:tr>
    </w:tbl>
    <w:p w14:paraId="643808D4" w14:textId="77777777" w:rsidR="001B3FB4" w:rsidRPr="00240A24" w:rsidRDefault="001B3FB4" w:rsidP="001B3FB4">
      <w:pPr>
        <w:rPr>
          <w:rFonts w:ascii="Arial" w:hAnsi="Arial" w:cs="Arial"/>
          <w:i/>
          <w:iCs/>
          <w:sz w:val="18"/>
          <w:szCs w:val="18"/>
          <w:lang w:val="en-US"/>
        </w:rPr>
      </w:pPr>
      <w:r w:rsidRPr="00D8782F">
        <w:rPr>
          <w:rFonts w:ascii="Arial" w:hAnsi="Arial"/>
          <w:i/>
          <w:iCs/>
          <w:sz w:val="18"/>
          <w:szCs w:val="18"/>
          <w:lang w:val="en-GB"/>
        </w:rPr>
        <w:t>(NOTE: Average exchange rates for the given annual period, retrieved from Korea Exchange Bank)</w:t>
      </w:r>
    </w:p>
    <w:p w14:paraId="756F3583" w14:textId="77777777" w:rsidR="006D3182" w:rsidRPr="00D8782F" w:rsidRDefault="006D3182" w:rsidP="006D3182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  <w:lang w:val="en-GB"/>
        </w:rPr>
      </w:pPr>
    </w:p>
    <w:p w14:paraId="66E0F994" w14:textId="77777777" w:rsidR="00537A82" w:rsidRPr="00240A24" w:rsidRDefault="00537A82" w:rsidP="00537A82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  <w:lang w:val="en-GB"/>
        </w:rPr>
      </w:pPr>
      <w:r w:rsidRPr="001B4DA5">
        <w:rPr>
          <w:rFonts w:ascii="Arial" w:hAnsi="Arial"/>
          <w:sz w:val="22"/>
          <w:szCs w:val="22"/>
          <w:lang w:val="en-GB"/>
        </w:rPr>
        <w:t># # #</w:t>
      </w:r>
    </w:p>
    <w:p w14:paraId="51F81A1B" w14:textId="09088423" w:rsidR="001B5CB0" w:rsidRPr="00240A24" w:rsidRDefault="001B5CB0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val="en-GB"/>
        </w:rPr>
      </w:pPr>
      <w:r w:rsidRPr="001B4DA5">
        <w:rPr>
          <w:rFonts w:ascii="Arial" w:hAnsi="Arial"/>
          <w:iCs/>
          <w:color w:val="000000"/>
          <w:sz w:val="22"/>
          <w:szCs w:val="22"/>
          <w:lang w:val="en-GB" w:eastAsia="ko-KR" w:bidi="ar-SA"/>
        </w:rPr>
        <w:br w:type="page"/>
      </w:r>
    </w:p>
    <w:p w14:paraId="26C1F135" w14:textId="77777777" w:rsidR="00FB25E6" w:rsidRPr="001B4DA5" w:rsidRDefault="00FB25E6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  <w:lang w:val="en-GB" w:eastAsia="ko-KR" w:bidi="ar-SA"/>
        </w:rPr>
      </w:pPr>
    </w:p>
    <w:p w14:paraId="65E5F673" w14:textId="77777777" w:rsidR="00C3720C" w:rsidRPr="000C7686" w:rsidRDefault="00C3720C" w:rsidP="00C3720C">
      <w:pPr>
        <w:rPr>
          <w:lang w:val="fr-FR"/>
        </w:rPr>
      </w:pPr>
    </w:p>
    <w:p w14:paraId="422C9722" w14:textId="77777777" w:rsidR="00C3720C" w:rsidRPr="000C7686" w:rsidRDefault="00C3720C" w:rsidP="00C3720C">
      <w:pPr>
        <w:widowControl/>
        <w:spacing w:line="320" w:lineRule="exact"/>
        <w:rPr>
          <w:snapToGrid w:val="0"/>
          <w:sz w:val="21"/>
          <w:szCs w:val="21"/>
        </w:rPr>
      </w:pPr>
    </w:p>
    <w:p w14:paraId="2C0E2126" w14:textId="77777777" w:rsidR="001B4DA5" w:rsidRPr="004F7401" w:rsidRDefault="001B4DA5" w:rsidP="001B4DA5">
      <w:pPr>
        <w:spacing w:line="276" w:lineRule="auto"/>
        <w:rPr>
          <w:b/>
          <w:bCs/>
          <w:sz w:val="21"/>
          <w:szCs w:val="21"/>
        </w:rPr>
      </w:pPr>
      <w:r>
        <w:rPr>
          <w:b/>
          <w:sz w:val="21"/>
        </w:rPr>
        <w:t>O firmie Hankook</w:t>
      </w:r>
    </w:p>
    <w:p w14:paraId="351A6F18" w14:textId="77777777" w:rsidR="001B4DA5" w:rsidRPr="004F7401" w:rsidRDefault="001B4DA5" w:rsidP="001B4DA5">
      <w:pPr>
        <w:spacing w:line="276" w:lineRule="auto"/>
        <w:rPr>
          <w:b/>
          <w:bCs/>
          <w:sz w:val="21"/>
          <w:szCs w:val="21"/>
        </w:rPr>
      </w:pPr>
    </w:p>
    <w:p w14:paraId="5224BFB6" w14:textId="77777777" w:rsidR="001B4DA5" w:rsidRPr="004F7401" w:rsidRDefault="001B4DA5" w:rsidP="001B4DA5">
      <w:pPr>
        <w:spacing w:line="276" w:lineRule="auto"/>
        <w:rPr>
          <w:sz w:val="21"/>
          <w:szCs w:val="21"/>
        </w:rPr>
      </w:pPr>
      <w:r>
        <w:rPr>
          <w:sz w:val="21"/>
        </w:rPr>
        <w:t>Hankook Tire, globalny producent opon, wytwarza innowacyjne, wysokiej klasy opony radialne w segmencie premium do samochodów osobowych, SUV-ów, pojazdów terenowych, lekkich samochodów ciężarowych, samochodów kempingowych, pojazdów ciężarowych, autobusów i samochodowego sportu motorowego (trasy okrężne, rajdy).</w:t>
      </w:r>
    </w:p>
    <w:p w14:paraId="66DB9AB5" w14:textId="77777777" w:rsidR="001B4DA5" w:rsidRPr="004F7401" w:rsidRDefault="001B4DA5" w:rsidP="001B4DA5">
      <w:pPr>
        <w:spacing w:line="276" w:lineRule="auto"/>
        <w:rPr>
          <w:sz w:val="21"/>
          <w:szCs w:val="21"/>
        </w:rPr>
      </w:pPr>
    </w:p>
    <w:p w14:paraId="11CAF9AF" w14:textId="77777777" w:rsidR="001B4DA5" w:rsidRPr="004F7401" w:rsidRDefault="001B4DA5" w:rsidP="001B4DA5">
      <w:pPr>
        <w:spacing w:line="276" w:lineRule="auto"/>
        <w:rPr>
          <w:sz w:val="21"/>
          <w:szCs w:val="21"/>
        </w:rPr>
      </w:pPr>
      <w:r>
        <w:rPr>
          <w:sz w:val="21"/>
        </w:rPr>
        <w:t>Hankook stale inwestuje w badania i rozwój, aby oferować swoim klientom niezmiennie wysoką jakość w połączeniu z technologiczną doskonałością. W pięciu mieszczących się na całym świecie centrach rozwoju i ośmiu fabrykach wielkopowierzchniowych od 2016 przedsiębiorstwo konstruuje i produkuje ogumienie, skrojone na miarę wymagań regionalnych rynków. W Europie koncepcje opon przeznaczone na rynki lokalne i do wyposażenia fabrycznego są opracowywane zgodnie ze standardami wiodących europejskich producentów pojazdów w Centrum Technicznym Hankook w niemieckim Hanowerze. Produkcja opon odbywa się między innymi w nowoczesnej europejskiej fabryce w węgierskiej miejscowości Rácalmás, której uroczyste otwarcie świętowano w 2007 roku i która od tamtej pory podlega stałemu rozwojowi. Obecnie około 3000 zatrudnionych tam pracowników produkuje rocznie nawet 19 milionów opon do pojazdów osobowych, SUV-ów i lekkich pojazdów ciężarowych.</w:t>
      </w:r>
    </w:p>
    <w:p w14:paraId="32D95F94" w14:textId="77777777" w:rsidR="001B4DA5" w:rsidRPr="004F7401" w:rsidRDefault="001B4DA5" w:rsidP="001B4DA5">
      <w:pPr>
        <w:spacing w:line="276" w:lineRule="auto"/>
        <w:rPr>
          <w:sz w:val="21"/>
          <w:szCs w:val="21"/>
        </w:rPr>
      </w:pPr>
    </w:p>
    <w:p w14:paraId="583482A9" w14:textId="77777777" w:rsidR="001B4DA5" w:rsidRPr="004F7401" w:rsidRDefault="001B4DA5" w:rsidP="001B4DA5">
      <w:pPr>
        <w:spacing w:line="276" w:lineRule="auto"/>
        <w:rPr>
          <w:sz w:val="21"/>
          <w:szCs w:val="21"/>
        </w:rPr>
      </w:pPr>
      <w:r>
        <w:rPr>
          <w:sz w:val="21"/>
        </w:rPr>
        <w:t xml:space="preserve">Europejska i niemiecka centrala producenta opon mieści się w Neu-Isenburg koło Frankfurtu nad Menem. Pozostałe siedziby Hankook na terenie Europy znajdują się w Czechach, Francji, Hiszpanii, Holandii, Polsce, Rosji, na Węgrzech, w Wielkiej Brytanii, we Włoszech, Szwecji i Turcji. Opony Hankook są sprzedawane bezpośrednio przez regionalnych dystrybutorów w wielu innych europejskich krajach. Przedsiębiorstwo zatrudnia na całym świecie około 22 000 pracowników i dostarcza swoje produkty do ponad 180 krajów. Wiodący producenci motoryzacyjni doceniają jakość opon Hankook, czego dowodem jest ich montaż na fabrycznym wyposażeniu. Blisko 30% obrotu globalnego firmy jest generowane w Europie. </w:t>
      </w:r>
      <w:r w:rsidRPr="009555E3">
        <w:rPr>
          <w:sz w:val="21"/>
        </w:rPr>
        <w:t>Od 2016 roku firma Hankook Tire jest uwzględniana w prestiżowym indeksie Dow Jones Sustainability Index World (DJSI World).</w:t>
      </w:r>
    </w:p>
    <w:p w14:paraId="71857BB0" w14:textId="77777777" w:rsidR="001B4DA5" w:rsidRPr="004F7401" w:rsidRDefault="001B4DA5" w:rsidP="001B4DA5">
      <w:pPr>
        <w:snapToGrid w:val="0"/>
        <w:spacing w:line="276" w:lineRule="auto"/>
        <w:rPr>
          <w:bCs/>
          <w:sz w:val="21"/>
          <w:szCs w:val="21"/>
        </w:rPr>
      </w:pPr>
    </w:p>
    <w:p w14:paraId="28E6F72A" w14:textId="77777777" w:rsidR="001B4DA5" w:rsidRPr="004F7401" w:rsidRDefault="001B4DA5" w:rsidP="001B4DA5">
      <w:pPr>
        <w:snapToGrid w:val="0"/>
        <w:spacing w:line="276" w:lineRule="auto"/>
        <w:rPr>
          <w:bCs/>
          <w:sz w:val="21"/>
          <w:szCs w:val="21"/>
        </w:rPr>
      </w:pPr>
      <w:r>
        <w:rPr>
          <w:sz w:val="21"/>
        </w:rPr>
        <w:t xml:space="preserve">Więcej informacji znajdą Państwo na stronie </w:t>
      </w:r>
      <w:r>
        <w:rPr>
          <w:rStyle w:val="Hyperlink"/>
          <w:sz w:val="21"/>
        </w:rPr>
        <w:fldChar w:fldCharType="begin"/>
      </w:r>
      <w:r>
        <w:rPr>
          <w:rStyle w:val="Hyperlink"/>
          <w:sz w:val="21"/>
        </w:rPr>
        <w:instrText xml:space="preserve"> HYPERLINK "http://www.hankooktire-mediacenter.com" </w:instrText>
      </w:r>
      <w:r>
        <w:rPr>
          <w:rStyle w:val="Hyperlink"/>
          <w:sz w:val="21"/>
        </w:rPr>
        <w:fldChar w:fldCharType="separate"/>
      </w:r>
      <w:r w:rsidRPr="001B4C39">
        <w:rPr>
          <w:rStyle w:val="Hyperlink"/>
          <w:sz w:val="21"/>
        </w:rPr>
        <w:t>www.hankooktire-mediacenter.com</w:t>
      </w:r>
      <w:r>
        <w:rPr>
          <w:rStyle w:val="Hyperlink"/>
          <w:sz w:val="21"/>
        </w:rPr>
        <w:fldChar w:fldCharType="end"/>
      </w:r>
      <w:r>
        <w:rPr>
          <w:sz w:val="21"/>
        </w:rPr>
        <w:t xml:space="preserve"> lub </w:t>
      </w:r>
      <w:r>
        <w:rPr>
          <w:rStyle w:val="Hyperlink"/>
          <w:sz w:val="21"/>
        </w:rPr>
        <w:fldChar w:fldCharType="begin"/>
      </w:r>
      <w:r>
        <w:rPr>
          <w:rStyle w:val="Hyperlink"/>
          <w:sz w:val="21"/>
        </w:rPr>
        <w:instrText xml:space="preserve"> HYPERLINK "http://www.hankooktire.com" </w:instrText>
      </w:r>
      <w:r>
        <w:rPr>
          <w:rStyle w:val="Hyperlink"/>
          <w:sz w:val="21"/>
        </w:rPr>
        <w:fldChar w:fldCharType="separate"/>
      </w:r>
      <w:r w:rsidRPr="001B4C39">
        <w:rPr>
          <w:rStyle w:val="Hyperlink"/>
          <w:sz w:val="21"/>
        </w:rPr>
        <w:t>www.hankooktire.com</w:t>
      </w:r>
      <w:r>
        <w:rPr>
          <w:rStyle w:val="Hyperlink"/>
          <w:sz w:val="21"/>
        </w:rPr>
        <w:fldChar w:fldCharType="end"/>
      </w:r>
    </w:p>
    <w:p w14:paraId="3FA4D336" w14:textId="77777777" w:rsidR="001B4DA5" w:rsidRPr="005D4243" w:rsidRDefault="001B4DA5" w:rsidP="001B4DA5">
      <w:pPr>
        <w:spacing w:line="276" w:lineRule="auto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B4DA5" w:rsidRPr="00C06E0E" w14:paraId="0CCE4137" w14:textId="77777777" w:rsidTr="00C54CB3">
        <w:tc>
          <w:tcPr>
            <w:tcW w:w="9437" w:type="dxa"/>
            <w:gridSpan w:val="4"/>
            <w:shd w:val="clear" w:color="auto" w:fill="F2F2F2"/>
          </w:tcPr>
          <w:p w14:paraId="31478700" w14:textId="77777777" w:rsidR="001B4DA5" w:rsidRPr="00B372B8" w:rsidRDefault="001B4DA5" w:rsidP="00C54CB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sz w:val="21"/>
                <w:lang w:val="fr-FR"/>
              </w:rPr>
              <w:t>:</w:t>
            </w:r>
            <w:proofErr w:type="gramEnd"/>
          </w:p>
          <w:p w14:paraId="2012D050" w14:textId="77777777" w:rsidR="001B4DA5" w:rsidRDefault="001B4DA5" w:rsidP="00C54CB3">
            <w:pPr>
              <w:rPr>
                <w:sz w:val="21"/>
                <w:szCs w:val="21"/>
                <w:u w:val="single"/>
              </w:rPr>
            </w:pPr>
          </w:p>
        </w:tc>
      </w:tr>
      <w:tr w:rsidR="001B4DA5" w:rsidRPr="0087788B" w14:paraId="0840310C" w14:textId="77777777" w:rsidTr="00C54CB3">
        <w:tc>
          <w:tcPr>
            <w:tcW w:w="2359" w:type="dxa"/>
            <w:shd w:val="clear" w:color="auto" w:fill="F2F2F2"/>
          </w:tcPr>
          <w:p w14:paraId="5FA89EA4" w14:textId="77777777" w:rsidR="001B4DA5" w:rsidRPr="008374A7" w:rsidRDefault="001B4DA5" w:rsidP="00C54CB3">
            <w:pPr>
              <w:rPr>
                <w:b/>
                <w:snapToGrid w:val="0"/>
                <w:sz w:val="16"/>
                <w:szCs w:val="16"/>
                <w:lang w:val="de-DE"/>
              </w:rPr>
            </w:pPr>
            <w:r w:rsidRPr="008374A7">
              <w:rPr>
                <w:b/>
                <w:snapToGrid w:val="0"/>
                <w:sz w:val="16"/>
                <w:lang w:val="de-DE"/>
              </w:rPr>
              <w:t>Felix Kinzer</w:t>
            </w:r>
          </w:p>
          <w:p w14:paraId="62DAD43D" w14:textId="77777777" w:rsidR="001B4DA5" w:rsidRPr="008374A7" w:rsidRDefault="001B4DA5" w:rsidP="00C54CB3">
            <w:pPr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 w:rsidRPr="008374A7">
              <w:rPr>
                <w:snapToGrid w:val="0"/>
                <w:sz w:val="16"/>
                <w:lang w:val="de-DE"/>
              </w:rPr>
              <w:t>Dyrektor</w:t>
            </w:r>
            <w:proofErr w:type="spellEnd"/>
          </w:p>
          <w:p w14:paraId="000D2020" w14:textId="77777777" w:rsidR="001B4DA5" w:rsidRPr="008374A7" w:rsidRDefault="001B4DA5" w:rsidP="00C54CB3">
            <w:pPr>
              <w:rPr>
                <w:snapToGrid w:val="0"/>
                <w:sz w:val="16"/>
                <w:szCs w:val="16"/>
                <w:lang w:val="de-DE"/>
              </w:rPr>
            </w:pPr>
            <w:r w:rsidRPr="008374A7">
              <w:rPr>
                <w:snapToGrid w:val="0"/>
                <w:sz w:val="16"/>
                <w:lang w:val="de-DE"/>
              </w:rPr>
              <w:t>tel.: +49 (0) 61 02 8149 – 170</w:t>
            </w:r>
          </w:p>
          <w:p w14:paraId="129617B0" w14:textId="77777777" w:rsidR="001B4DA5" w:rsidRPr="008374A7" w:rsidRDefault="001B4DA5" w:rsidP="00C54CB3">
            <w:pPr>
              <w:rPr>
                <w:snapToGrid w:val="0"/>
                <w:sz w:val="16"/>
                <w:szCs w:val="16"/>
                <w:lang w:val="de-DE"/>
              </w:rPr>
            </w:pPr>
            <w:hyperlink r:id="rId8">
              <w:r w:rsidRPr="008374A7">
                <w:rPr>
                  <w:rStyle w:val="Hyperlink"/>
                  <w:snapToGrid w:val="0"/>
                  <w:sz w:val="16"/>
                  <w:lang w:val="de-DE"/>
                </w:rPr>
                <w:t>f.kinzer@hankookreifen.de</w:t>
              </w:r>
            </w:hyperlink>
          </w:p>
          <w:p w14:paraId="231766ED" w14:textId="77777777" w:rsidR="001B4DA5" w:rsidRPr="008374A7" w:rsidRDefault="001B4DA5" w:rsidP="00C54CB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53D444C4" w14:textId="77777777" w:rsidR="001B4DA5" w:rsidRPr="00753BA6" w:rsidRDefault="001B4DA5" w:rsidP="00C54CB3">
            <w:pPr>
              <w:rPr>
                <w:b/>
                <w:sz w:val="16"/>
                <w:szCs w:val="16"/>
                <w:lang w:val="it-IT"/>
              </w:rPr>
            </w:pPr>
            <w:r w:rsidRPr="00753BA6">
              <w:rPr>
                <w:b/>
                <w:sz w:val="16"/>
                <w:lang w:val="it-IT"/>
              </w:rPr>
              <w:t>Anna Magdalena Pasternak</w:t>
            </w:r>
          </w:p>
          <w:p w14:paraId="115F0373" w14:textId="77777777" w:rsidR="001B4DA5" w:rsidRPr="00753BA6" w:rsidRDefault="001B4DA5" w:rsidP="00C54CB3">
            <w:pPr>
              <w:rPr>
                <w:sz w:val="16"/>
                <w:szCs w:val="16"/>
                <w:lang w:val="it-IT"/>
              </w:rPr>
            </w:pPr>
            <w:r w:rsidRPr="00753BA6">
              <w:rPr>
                <w:sz w:val="16"/>
                <w:lang w:val="it-IT"/>
              </w:rPr>
              <w:t>PR</w:t>
            </w:r>
            <w:r>
              <w:rPr>
                <w:sz w:val="16"/>
                <w:lang w:val="it-IT"/>
              </w:rPr>
              <w:t xml:space="preserve"> </w:t>
            </w:r>
            <w:r w:rsidRPr="00753BA6">
              <w:rPr>
                <w:sz w:val="16"/>
                <w:lang w:val="it-IT"/>
              </w:rPr>
              <w:t>Manager</w:t>
            </w:r>
          </w:p>
          <w:p w14:paraId="05140A01" w14:textId="77777777" w:rsidR="001B4DA5" w:rsidRPr="00753BA6" w:rsidRDefault="001B4DA5" w:rsidP="00C54CB3">
            <w:pPr>
              <w:rPr>
                <w:snapToGrid w:val="0"/>
                <w:sz w:val="16"/>
                <w:szCs w:val="16"/>
                <w:lang w:val="it-IT"/>
              </w:rPr>
            </w:pPr>
            <w:r w:rsidRPr="00753BA6">
              <w:rPr>
                <w:snapToGrid w:val="0"/>
                <w:sz w:val="16"/>
                <w:lang w:val="it-IT"/>
              </w:rPr>
              <w:t>tel.: +49 (0) 6102 8149 – 173</w:t>
            </w:r>
          </w:p>
          <w:p w14:paraId="6CD076D1" w14:textId="77777777" w:rsidR="001B4DA5" w:rsidRPr="00CC5CB1" w:rsidRDefault="001B4DA5" w:rsidP="00C54CB3">
            <w:pPr>
              <w:rPr>
                <w:sz w:val="16"/>
                <w:szCs w:val="16"/>
              </w:rPr>
            </w:pPr>
            <w:hyperlink r:id="rId9" w:history="1">
              <w:r w:rsidRPr="002918A6">
                <w:rPr>
                  <w:rStyle w:val="Hyperlink"/>
                  <w:sz w:val="16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18EAF68C" w14:textId="2545238B" w:rsidR="001B4DA5" w:rsidRPr="0087788B" w:rsidRDefault="001B4DA5" w:rsidP="00C54CB3">
            <w:pPr>
              <w:rPr>
                <w:sz w:val="21"/>
                <w:szCs w:val="21"/>
                <w:lang w:val="de-DE"/>
              </w:rPr>
            </w:pPr>
            <w:bookmarkStart w:id="0" w:name="_GoBack"/>
            <w:bookmarkEnd w:id="0"/>
          </w:p>
        </w:tc>
        <w:tc>
          <w:tcPr>
            <w:tcW w:w="2360" w:type="dxa"/>
            <w:shd w:val="clear" w:color="auto" w:fill="F2F2F2"/>
          </w:tcPr>
          <w:p w14:paraId="09010C44" w14:textId="77777777" w:rsidR="001B4DA5" w:rsidRPr="00C06E0E" w:rsidRDefault="001B4DA5" w:rsidP="00C54CB3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14:paraId="5F91D5B0" w14:textId="77777777" w:rsidR="002765AC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78BF99B9" w14:textId="77777777" w:rsidR="002765AC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697957C6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6F2933A6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1AAF56A7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539BF525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21187A4A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4318274C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10A87437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297F2126" w14:textId="77777777" w:rsidR="002765AC" w:rsidRPr="00BD5F39" w:rsidRDefault="002765AC" w:rsidP="002765AC">
      <w:pPr>
        <w:spacing w:line="276" w:lineRule="auto"/>
        <w:rPr>
          <w:b/>
          <w:sz w:val="21"/>
          <w:szCs w:val="21"/>
          <w:lang w:val="de-DE"/>
        </w:rPr>
      </w:pPr>
    </w:p>
    <w:p w14:paraId="0D276701" w14:textId="77777777" w:rsidR="002765AC" w:rsidRPr="00BD5F39" w:rsidRDefault="002765AC" w:rsidP="002765AC">
      <w:pPr>
        <w:spacing w:line="320" w:lineRule="exact"/>
        <w:rPr>
          <w:u w:val="single"/>
          <w:lang w:val="de-DE"/>
        </w:rPr>
      </w:pPr>
    </w:p>
    <w:tbl>
      <w:tblPr>
        <w:tblW w:w="9441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918"/>
        <w:gridCol w:w="2173"/>
        <w:gridCol w:w="2173"/>
        <w:gridCol w:w="2177"/>
      </w:tblGrid>
      <w:tr w:rsidR="002765AC" w:rsidRPr="00E45206" w14:paraId="049B83BB" w14:textId="77777777" w:rsidTr="00F17FFE">
        <w:trPr>
          <w:trHeight w:val="5"/>
        </w:trPr>
        <w:tc>
          <w:tcPr>
            <w:tcW w:w="9441" w:type="dxa"/>
            <w:gridSpan w:val="4"/>
            <w:shd w:val="clear" w:color="auto" w:fill="F2F2F2"/>
          </w:tcPr>
          <w:p w14:paraId="3BA74DAE" w14:textId="77777777" w:rsidR="002765AC" w:rsidRPr="00D0716E" w:rsidRDefault="002765AC" w:rsidP="00F17FFE">
            <w:pPr>
              <w:spacing w:line="320" w:lineRule="exact"/>
              <w:rPr>
                <w:b/>
                <w:bCs/>
                <w:sz w:val="21"/>
                <w:szCs w:val="21"/>
                <w:u w:val="single"/>
              </w:rPr>
            </w:pPr>
            <w:proofErr w:type="gramStart"/>
            <w:r w:rsidRPr="00BD5F39">
              <w:rPr>
                <w:b/>
                <w:bCs/>
                <w:sz w:val="21"/>
                <w:szCs w:val="21"/>
                <w:u w:val="single"/>
                <w:lang w:val="fr-FR"/>
              </w:rPr>
              <w:t>Kontakt:</w:t>
            </w:r>
            <w:proofErr w:type="gramEnd"/>
          </w:p>
          <w:p w14:paraId="1C5BEE85" w14:textId="77777777" w:rsidR="002765AC" w:rsidRPr="00E45206" w:rsidRDefault="002765AC" w:rsidP="00F17FFE">
            <w:pPr>
              <w:spacing w:line="320" w:lineRule="exact"/>
              <w:rPr>
                <w:sz w:val="16"/>
                <w:szCs w:val="16"/>
              </w:rPr>
            </w:pPr>
            <w:r w:rsidRPr="00BD5F39">
              <w:rPr>
                <w:b/>
                <w:bCs/>
                <w:sz w:val="16"/>
                <w:szCs w:val="16"/>
                <w:lang w:val="fr-FR"/>
              </w:rPr>
              <w:t xml:space="preserve">Hankook Tire </w:t>
            </w:r>
            <w:r>
              <w:rPr>
                <w:b/>
                <w:bCs/>
                <w:sz w:val="16"/>
                <w:szCs w:val="16"/>
                <w:lang w:val="fr-FR"/>
              </w:rPr>
              <w:t>Polska</w:t>
            </w:r>
            <w:r w:rsidRPr="00BD5F39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>
              <w:rPr>
                <w:bCs/>
                <w:sz w:val="16"/>
                <w:szCs w:val="16"/>
                <w:lang w:val="fr-FR"/>
              </w:rPr>
              <w:t>02-690 Warszawa, ul. Bokserska 66.</w:t>
            </w:r>
          </w:p>
          <w:p w14:paraId="0DDA23C9" w14:textId="77777777" w:rsidR="002765AC" w:rsidRPr="00E45206" w:rsidRDefault="002765AC" w:rsidP="00F17FFE">
            <w:pPr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2765AC" w:rsidRPr="00BD5F39" w14:paraId="423B7A47" w14:textId="77777777" w:rsidTr="00F17FFE">
        <w:trPr>
          <w:trHeight w:val="6"/>
        </w:trPr>
        <w:tc>
          <w:tcPr>
            <w:tcW w:w="2359" w:type="dxa"/>
            <w:shd w:val="clear" w:color="auto" w:fill="F2F2F2"/>
          </w:tcPr>
          <w:p w14:paraId="5D1948C4" w14:textId="77777777" w:rsidR="002765AC" w:rsidRPr="00D0716E" w:rsidRDefault="002765AC" w:rsidP="00F17FFE">
            <w:pPr>
              <w:rPr>
                <w:b/>
                <w:snapToGrid w:val="0"/>
                <w:sz w:val="16"/>
                <w:szCs w:val="16"/>
              </w:rPr>
            </w:pPr>
            <w:r w:rsidRPr="00D0716E">
              <w:rPr>
                <w:b/>
                <w:snapToGrid w:val="0"/>
                <w:sz w:val="16"/>
                <w:szCs w:val="16"/>
              </w:rPr>
              <w:t>Katarzyna Piekarska</w:t>
            </w:r>
          </w:p>
          <w:p w14:paraId="2E096B02" w14:textId="77777777" w:rsidR="002765AC" w:rsidRPr="00D0716E" w:rsidRDefault="002765AC" w:rsidP="00F17FFE">
            <w:pPr>
              <w:rPr>
                <w:snapToGrid w:val="0"/>
                <w:sz w:val="16"/>
                <w:szCs w:val="16"/>
              </w:rPr>
            </w:pPr>
            <w:r w:rsidRPr="00D0716E">
              <w:rPr>
                <w:snapToGrid w:val="0"/>
                <w:sz w:val="16"/>
                <w:szCs w:val="16"/>
              </w:rPr>
              <w:t>Specjalista ds. Marketingu</w:t>
            </w:r>
          </w:p>
          <w:p w14:paraId="3A5B0378" w14:textId="77777777" w:rsidR="002765AC" w:rsidRPr="00D0716E" w:rsidRDefault="002765AC" w:rsidP="00F17FFE">
            <w:pPr>
              <w:rPr>
                <w:snapToGrid w:val="0"/>
                <w:sz w:val="16"/>
                <w:szCs w:val="16"/>
              </w:rPr>
            </w:pPr>
            <w:r w:rsidRPr="00D0716E">
              <w:rPr>
                <w:snapToGrid w:val="0"/>
                <w:sz w:val="16"/>
                <w:szCs w:val="16"/>
              </w:rPr>
              <w:lastRenderedPageBreak/>
              <w:t xml:space="preserve">Tel.: +48 22 395 57 39 </w:t>
            </w:r>
          </w:p>
          <w:p w14:paraId="50A0E0F8" w14:textId="77777777" w:rsidR="002765AC" w:rsidRPr="00E45206" w:rsidRDefault="004932A3" w:rsidP="00F17FFE">
            <w:pPr>
              <w:rPr>
                <w:snapToGrid w:val="0"/>
                <w:sz w:val="16"/>
                <w:szCs w:val="16"/>
                <w:lang w:val="en-US"/>
              </w:rPr>
            </w:pPr>
            <w:hyperlink r:id="rId10" w:history="1">
              <w:r w:rsidR="002765AC" w:rsidRPr="001C5B1B">
                <w:rPr>
                  <w:rStyle w:val="Hyperlink"/>
                  <w:snapToGrid w:val="0"/>
                  <w:sz w:val="16"/>
                  <w:szCs w:val="16"/>
                  <w:lang w:val="en-US"/>
                </w:rPr>
                <w:t>Katarzyna.piekarska@hankooktire.com.pl</w:t>
              </w:r>
            </w:hyperlink>
            <w:r w:rsidR="002765AC">
              <w:rPr>
                <w:snapToGrid w:val="0"/>
                <w:sz w:val="16"/>
                <w:szCs w:val="16"/>
                <w:lang w:val="en-US"/>
              </w:rPr>
              <w:t xml:space="preserve"> </w:t>
            </w:r>
          </w:p>
          <w:p w14:paraId="46E363C8" w14:textId="77777777" w:rsidR="002765AC" w:rsidRDefault="002765AC" w:rsidP="00F17FFE">
            <w:pPr>
              <w:rPr>
                <w:b/>
                <w:snapToGrid w:val="0"/>
                <w:sz w:val="16"/>
                <w:szCs w:val="16"/>
                <w:lang w:val="en-US"/>
              </w:rPr>
            </w:pPr>
          </w:p>
          <w:p w14:paraId="1C77D9C2" w14:textId="77777777" w:rsidR="002765AC" w:rsidRPr="00E45206" w:rsidRDefault="002765AC" w:rsidP="00F17FFE">
            <w:pPr>
              <w:rPr>
                <w:snapToGrid w:val="0"/>
                <w:sz w:val="16"/>
                <w:szCs w:val="16"/>
                <w:lang w:val="en-US"/>
              </w:rPr>
            </w:pPr>
          </w:p>
          <w:p w14:paraId="3CE9A2BF" w14:textId="77777777" w:rsidR="002765AC" w:rsidRPr="00E45206" w:rsidRDefault="002765AC" w:rsidP="00F17FFE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359" w:type="dxa"/>
            <w:shd w:val="clear" w:color="auto" w:fill="F2F2F2"/>
          </w:tcPr>
          <w:p w14:paraId="6A1546DC" w14:textId="77777777" w:rsidR="002765AC" w:rsidRPr="00BD5F39" w:rsidRDefault="002765AC" w:rsidP="00F17FFE">
            <w:pPr>
              <w:spacing w:line="200" w:lineRule="exact"/>
              <w:rPr>
                <w:color w:val="0070C0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/>
          </w:tcPr>
          <w:p w14:paraId="4D4C5F15" w14:textId="77777777" w:rsidR="002765AC" w:rsidRPr="00BD5F39" w:rsidRDefault="002765AC" w:rsidP="00F17FFE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  <w:tc>
          <w:tcPr>
            <w:tcW w:w="2363" w:type="dxa"/>
            <w:shd w:val="clear" w:color="auto" w:fill="F2F2F2"/>
          </w:tcPr>
          <w:p w14:paraId="05E87775" w14:textId="77777777" w:rsidR="002765AC" w:rsidRPr="00BD5F39" w:rsidRDefault="002765AC" w:rsidP="00F17FFE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14:paraId="43AEC8C5" w14:textId="77777777" w:rsidR="008F5EFB" w:rsidRDefault="008F5EFB">
      <w:pPr>
        <w:spacing w:after="240"/>
      </w:pPr>
    </w:p>
    <w:sectPr w:rsidR="008F5EFB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C484" w14:textId="77777777" w:rsidR="004932A3" w:rsidRDefault="004932A3">
      <w:r>
        <w:separator/>
      </w:r>
    </w:p>
  </w:endnote>
  <w:endnote w:type="continuationSeparator" w:id="0">
    <w:p w14:paraId="6F859317" w14:textId="77777777" w:rsidR="004932A3" w:rsidRDefault="0049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0C76" w14:textId="77777777" w:rsidR="004932A3" w:rsidRDefault="004932A3">
      <w:r>
        <w:separator/>
      </w:r>
    </w:p>
  </w:footnote>
  <w:footnote w:type="continuationSeparator" w:id="0">
    <w:p w14:paraId="469F40D4" w14:textId="77777777" w:rsidR="004932A3" w:rsidRDefault="0049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9E4" w14:textId="77777777" w:rsidR="00322512" w:rsidRDefault="004A0D40">
    <w:pPr>
      <w:pStyle w:val="Kopfzeile"/>
    </w:pPr>
    <w:r>
      <w:rPr>
        <w:noProof/>
        <w:lang w:eastAsia="pl-PL" w:bidi="ar-SA"/>
      </w:rPr>
      <w:drawing>
        <wp:inline distT="0" distB="0" distL="0" distR="0" wp14:anchorId="1F562DDC" wp14:editId="482A05AC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07A3"/>
    <w:rsid w:val="000332FD"/>
    <w:rsid w:val="00037F89"/>
    <w:rsid w:val="00042B26"/>
    <w:rsid w:val="00046E26"/>
    <w:rsid w:val="00052F1C"/>
    <w:rsid w:val="000707C2"/>
    <w:rsid w:val="0008133E"/>
    <w:rsid w:val="00084818"/>
    <w:rsid w:val="000B01AA"/>
    <w:rsid w:val="000B78B2"/>
    <w:rsid w:val="000B7F76"/>
    <w:rsid w:val="000C38D5"/>
    <w:rsid w:val="000C7686"/>
    <w:rsid w:val="000D0075"/>
    <w:rsid w:val="000E504D"/>
    <w:rsid w:val="000E5B09"/>
    <w:rsid w:val="000E7AE6"/>
    <w:rsid w:val="000F383B"/>
    <w:rsid w:val="000F6C5B"/>
    <w:rsid w:val="000F728A"/>
    <w:rsid w:val="0011511D"/>
    <w:rsid w:val="00117BC6"/>
    <w:rsid w:val="001305C0"/>
    <w:rsid w:val="00132F98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B3DFD"/>
    <w:rsid w:val="001B3FB4"/>
    <w:rsid w:val="001B4DA5"/>
    <w:rsid w:val="001B5CB0"/>
    <w:rsid w:val="001B6913"/>
    <w:rsid w:val="001B770D"/>
    <w:rsid w:val="001C306C"/>
    <w:rsid w:val="001C4688"/>
    <w:rsid w:val="001C50A7"/>
    <w:rsid w:val="001D1A33"/>
    <w:rsid w:val="001E02D0"/>
    <w:rsid w:val="001E1CA4"/>
    <w:rsid w:val="001E50B3"/>
    <w:rsid w:val="001E5577"/>
    <w:rsid w:val="001E5860"/>
    <w:rsid w:val="001E68CD"/>
    <w:rsid w:val="001F2CE5"/>
    <w:rsid w:val="0021380A"/>
    <w:rsid w:val="00217822"/>
    <w:rsid w:val="00240A24"/>
    <w:rsid w:val="00242941"/>
    <w:rsid w:val="00253B1B"/>
    <w:rsid w:val="002643E7"/>
    <w:rsid w:val="00264A09"/>
    <w:rsid w:val="0027303F"/>
    <w:rsid w:val="00273B3A"/>
    <w:rsid w:val="002765AC"/>
    <w:rsid w:val="00276D86"/>
    <w:rsid w:val="00276E22"/>
    <w:rsid w:val="002821C3"/>
    <w:rsid w:val="00286C34"/>
    <w:rsid w:val="002935DB"/>
    <w:rsid w:val="002950E1"/>
    <w:rsid w:val="00295CC7"/>
    <w:rsid w:val="002A1A77"/>
    <w:rsid w:val="002A6165"/>
    <w:rsid w:val="002A69FD"/>
    <w:rsid w:val="002B0B11"/>
    <w:rsid w:val="002C7CC7"/>
    <w:rsid w:val="002D644E"/>
    <w:rsid w:val="002D6D16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864D0"/>
    <w:rsid w:val="003A6919"/>
    <w:rsid w:val="003C2C07"/>
    <w:rsid w:val="003C5F06"/>
    <w:rsid w:val="003C6392"/>
    <w:rsid w:val="003C69FA"/>
    <w:rsid w:val="003C6BA6"/>
    <w:rsid w:val="003C7391"/>
    <w:rsid w:val="003D37F2"/>
    <w:rsid w:val="003E3350"/>
    <w:rsid w:val="003E52CE"/>
    <w:rsid w:val="003F06CF"/>
    <w:rsid w:val="00403374"/>
    <w:rsid w:val="00413C13"/>
    <w:rsid w:val="004328DE"/>
    <w:rsid w:val="004371CC"/>
    <w:rsid w:val="00441CF6"/>
    <w:rsid w:val="00444C13"/>
    <w:rsid w:val="0044704A"/>
    <w:rsid w:val="004505DA"/>
    <w:rsid w:val="00454798"/>
    <w:rsid w:val="00456BAD"/>
    <w:rsid w:val="00456D85"/>
    <w:rsid w:val="00457514"/>
    <w:rsid w:val="004640F5"/>
    <w:rsid w:val="004669C0"/>
    <w:rsid w:val="00474807"/>
    <w:rsid w:val="00475B2E"/>
    <w:rsid w:val="004806D6"/>
    <w:rsid w:val="00481CBF"/>
    <w:rsid w:val="00490A0D"/>
    <w:rsid w:val="00490ABB"/>
    <w:rsid w:val="00492DD9"/>
    <w:rsid w:val="004932A3"/>
    <w:rsid w:val="00497476"/>
    <w:rsid w:val="00497D50"/>
    <w:rsid w:val="004A0D40"/>
    <w:rsid w:val="004B4FF9"/>
    <w:rsid w:val="004C0BF7"/>
    <w:rsid w:val="004C59E3"/>
    <w:rsid w:val="004D76A2"/>
    <w:rsid w:val="004E6DC0"/>
    <w:rsid w:val="004F042B"/>
    <w:rsid w:val="004F0F5C"/>
    <w:rsid w:val="004F4650"/>
    <w:rsid w:val="0050074E"/>
    <w:rsid w:val="0050441A"/>
    <w:rsid w:val="005131AB"/>
    <w:rsid w:val="0051481D"/>
    <w:rsid w:val="00516754"/>
    <w:rsid w:val="00521642"/>
    <w:rsid w:val="0052398E"/>
    <w:rsid w:val="00527CBD"/>
    <w:rsid w:val="005319AE"/>
    <w:rsid w:val="00534087"/>
    <w:rsid w:val="005377A3"/>
    <w:rsid w:val="00537A82"/>
    <w:rsid w:val="005409F1"/>
    <w:rsid w:val="005427CD"/>
    <w:rsid w:val="00545866"/>
    <w:rsid w:val="005476DB"/>
    <w:rsid w:val="00552AA7"/>
    <w:rsid w:val="005573FD"/>
    <w:rsid w:val="00565C88"/>
    <w:rsid w:val="00576299"/>
    <w:rsid w:val="00580D4A"/>
    <w:rsid w:val="005A1096"/>
    <w:rsid w:val="005A1295"/>
    <w:rsid w:val="005B3E4C"/>
    <w:rsid w:val="005B7176"/>
    <w:rsid w:val="005C2BC8"/>
    <w:rsid w:val="005C4D68"/>
    <w:rsid w:val="005C5104"/>
    <w:rsid w:val="005E387E"/>
    <w:rsid w:val="005E7787"/>
    <w:rsid w:val="005F5154"/>
    <w:rsid w:val="00600B02"/>
    <w:rsid w:val="00623E1A"/>
    <w:rsid w:val="006369D3"/>
    <w:rsid w:val="00643A99"/>
    <w:rsid w:val="0064744E"/>
    <w:rsid w:val="00655428"/>
    <w:rsid w:val="00656AB1"/>
    <w:rsid w:val="0066590E"/>
    <w:rsid w:val="00666B30"/>
    <w:rsid w:val="006823E5"/>
    <w:rsid w:val="006828D9"/>
    <w:rsid w:val="00694D9B"/>
    <w:rsid w:val="006A0748"/>
    <w:rsid w:val="006A5B18"/>
    <w:rsid w:val="006A6B65"/>
    <w:rsid w:val="006B09B4"/>
    <w:rsid w:val="006B21DA"/>
    <w:rsid w:val="006D2055"/>
    <w:rsid w:val="006D3182"/>
    <w:rsid w:val="006E731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63E80"/>
    <w:rsid w:val="00765EB6"/>
    <w:rsid w:val="00770260"/>
    <w:rsid w:val="0077205B"/>
    <w:rsid w:val="007736F1"/>
    <w:rsid w:val="00775ECE"/>
    <w:rsid w:val="00782259"/>
    <w:rsid w:val="00784B0F"/>
    <w:rsid w:val="00787D6E"/>
    <w:rsid w:val="00797CEF"/>
    <w:rsid w:val="007A21B7"/>
    <w:rsid w:val="007A27CA"/>
    <w:rsid w:val="007A6BE4"/>
    <w:rsid w:val="007B5E58"/>
    <w:rsid w:val="007C4D8D"/>
    <w:rsid w:val="007C7385"/>
    <w:rsid w:val="007D3C03"/>
    <w:rsid w:val="007E323B"/>
    <w:rsid w:val="007E6905"/>
    <w:rsid w:val="008012BD"/>
    <w:rsid w:val="00801E26"/>
    <w:rsid w:val="00804B96"/>
    <w:rsid w:val="0081100B"/>
    <w:rsid w:val="00817785"/>
    <w:rsid w:val="00833274"/>
    <w:rsid w:val="008333FD"/>
    <w:rsid w:val="00843333"/>
    <w:rsid w:val="00857EBB"/>
    <w:rsid w:val="008862AA"/>
    <w:rsid w:val="008923C0"/>
    <w:rsid w:val="00892C20"/>
    <w:rsid w:val="0089325B"/>
    <w:rsid w:val="00895E2C"/>
    <w:rsid w:val="008A0079"/>
    <w:rsid w:val="008A296E"/>
    <w:rsid w:val="008B4556"/>
    <w:rsid w:val="008B609E"/>
    <w:rsid w:val="008B622D"/>
    <w:rsid w:val="008C2C59"/>
    <w:rsid w:val="008C2D20"/>
    <w:rsid w:val="008E0414"/>
    <w:rsid w:val="008F411B"/>
    <w:rsid w:val="008F5EFB"/>
    <w:rsid w:val="00901E8D"/>
    <w:rsid w:val="009025B6"/>
    <w:rsid w:val="0090629F"/>
    <w:rsid w:val="009077AF"/>
    <w:rsid w:val="00910720"/>
    <w:rsid w:val="00917F0F"/>
    <w:rsid w:val="00927F28"/>
    <w:rsid w:val="00945BA0"/>
    <w:rsid w:val="0094731B"/>
    <w:rsid w:val="0095055D"/>
    <w:rsid w:val="00973F85"/>
    <w:rsid w:val="00974B91"/>
    <w:rsid w:val="00976556"/>
    <w:rsid w:val="0098380F"/>
    <w:rsid w:val="00984D92"/>
    <w:rsid w:val="00984D95"/>
    <w:rsid w:val="00986E83"/>
    <w:rsid w:val="009A3960"/>
    <w:rsid w:val="009A5D39"/>
    <w:rsid w:val="009B15D9"/>
    <w:rsid w:val="009B1D17"/>
    <w:rsid w:val="009B3220"/>
    <w:rsid w:val="009C7AF4"/>
    <w:rsid w:val="009D5008"/>
    <w:rsid w:val="009F1475"/>
    <w:rsid w:val="00A03CF9"/>
    <w:rsid w:val="00A06F33"/>
    <w:rsid w:val="00A100D5"/>
    <w:rsid w:val="00A30159"/>
    <w:rsid w:val="00A34710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9664A"/>
    <w:rsid w:val="00AA18A2"/>
    <w:rsid w:val="00AA5544"/>
    <w:rsid w:val="00AB1A0C"/>
    <w:rsid w:val="00AB564C"/>
    <w:rsid w:val="00AB7522"/>
    <w:rsid w:val="00AD0D5A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16DA0"/>
    <w:rsid w:val="00B35145"/>
    <w:rsid w:val="00B3769D"/>
    <w:rsid w:val="00B50EC7"/>
    <w:rsid w:val="00B75E0F"/>
    <w:rsid w:val="00B77896"/>
    <w:rsid w:val="00B82C01"/>
    <w:rsid w:val="00B90C41"/>
    <w:rsid w:val="00B90E85"/>
    <w:rsid w:val="00B92153"/>
    <w:rsid w:val="00BB2959"/>
    <w:rsid w:val="00BB61EB"/>
    <w:rsid w:val="00BB6B90"/>
    <w:rsid w:val="00BC2E33"/>
    <w:rsid w:val="00BD1C72"/>
    <w:rsid w:val="00BD36A8"/>
    <w:rsid w:val="00BD5EC9"/>
    <w:rsid w:val="00C06C4D"/>
    <w:rsid w:val="00C137B9"/>
    <w:rsid w:val="00C138C6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20057"/>
    <w:rsid w:val="00D27811"/>
    <w:rsid w:val="00D41067"/>
    <w:rsid w:val="00D44EF8"/>
    <w:rsid w:val="00D5594D"/>
    <w:rsid w:val="00D65D77"/>
    <w:rsid w:val="00D82C1C"/>
    <w:rsid w:val="00D86271"/>
    <w:rsid w:val="00D8782F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DF3D65"/>
    <w:rsid w:val="00E00CB3"/>
    <w:rsid w:val="00E3348E"/>
    <w:rsid w:val="00E34CF3"/>
    <w:rsid w:val="00E35F7C"/>
    <w:rsid w:val="00E36A48"/>
    <w:rsid w:val="00E40687"/>
    <w:rsid w:val="00E426BA"/>
    <w:rsid w:val="00E427BE"/>
    <w:rsid w:val="00E42E29"/>
    <w:rsid w:val="00E439B0"/>
    <w:rsid w:val="00E52A5A"/>
    <w:rsid w:val="00E543B5"/>
    <w:rsid w:val="00E6716B"/>
    <w:rsid w:val="00E7463C"/>
    <w:rsid w:val="00E76FAF"/>
    <w:rsid w:val="00E94C4A"/>
    <w:rsid w:val="00EA089F"/>
    <w:rsid w:val="00EA790C"/>
    <w:rsid w:val="00EB1C45"/>
    <w:rsid w:val="00EB504E"/>
    <w:rsid w:val="00ED4CA1"/>
    <w:rsid w:val="00EE06D1"/>
    <w:rsid w:val="00EE3696"/>
    <w:rsid w:val="00EF4F15"/>
    <w:rsid w:val="00F00E85"/>
    <w:rsid w:val="00F07D00"/>
    <w:rsid w:val="00F15548"/>
    <w:rsid w:val="00F15E20"/>
    <w:rsid w:val="00F16583"/>
    <w:rsid w:val="00F27617"/>
    <w:rsid w:val="00F33E72"/>
    <w:rsid w:val="00F350F2"/>
    <w:rsid w:val="00F420E5"/>
    <w:rsid w:val="00F5173E"/>
    <w:rsid w:val="00F5217E"/>
    <w:rsid w:val="00F526EA"/>
    <w:rsid w:val="00F53911"/>
    <w:rsid w:val="00F53B4F"/>
    <w:rsid w:val="00F659A5"/>
    <w:rsid w:val="00F7126F"/>
    <w:rsid w:val="00F819C7"/>
    <w:rsid w:val="00F85129"/>
    <w:rsid w:val="00FA044C"/>
    <w:rsid w:val="00FA3065"/>
    <w:rsid w:val="00FB25E6"/>
    <w:rsid w:val="00FC1034"/>
    <w:rsid w:val="00FC797B"/>
    <w:rsid w:val="00FD5FF3"/>
    <w:rsid w:val="00FD79C6"/>
    <w:rsid w:val="00FE1FAF"/>
    <w:rsid w:val="00FE7555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8571A"/>
  <w15:docId w15:val="{E5FE476C-9260-4A5A-A312-E92FDE62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pl-PL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nzer@hankookreif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piekarska@hankooktir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asternak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347B-91C8-4F88-8BC2-3016E72D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5412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2019-02-13T14:17:00Z</cp:lastPrinted>
  <dcterms:created xsi:type="dcterms:W3CDTF">2019-02-19T11:34:00Z</dcterms:created>
  <dcterms:modified xsi:type="dcterms:W3CDTF">2019-02-19T12:18:00Z</dcterms:modified>
  <dc:language>de-DE</dc:language>
</cp:coreProperties>
</file>