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D62FC" w14:textId="77777777" w:rsidR="005C2BC8" w:rsidRPr="00BD08A0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010B3298" w14:textId="0D972B3C" w:rsidR="00046E26" w:rsidRPr="00BD08A0" w:rsidRDefault="006D2055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BD08A0">
        <w:rPr>
          <w:rFonts w:ascii="Helvetica" w:hAnsi="Helvetica"/>
          <w:b/>
          <w:color w:val="FF6600"/>
          <w:sz w:val="32"/>
        </w:rPr>
        <w:t>Компания Hankook Tire публикует глобальный финансовый отчет за 2018 год</w:t>
      </w:r>
    </w:p>
    <w:p w14:paraId="25A0AAEA" w14:textId="77777777" w:rsidR="002A1A77" w:rsidRPr="00BD08A0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39C8ACB" w14:textId="06BE83E5" w:rsidR="001E5577" w:rsidRPr="00BD08A0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  <w:r w:rsidRPr="00BD08A0">
        <w:rPr>
          <w:b/>
          <w:iCs/>
          <w:color w:val="000000"/>
          <w:sz w:val="22"/>
          <w:szCs w:val="22"/>
        </w:rPr>
        <w:t xml:space="preserve">Оборот производителя шин Hankook за 2018 финансовый год составил 6,79 триллиона корейских вон, а </w:t>
      </w:r>
      <w:r w:rsidR="009975DB" w:rsidRPr="009975DB">
        <w:rPr>
          <w:b/>
          <w:iCs/>
          <w:color w:val="000000"/>
          <w:sz w:val="22"/>
          <w:szCs w:val="22"/>
        </w:rPr>
        <w:t xml:space="preserve">операционный </w:t>
      </w:r>
      <w:bookmarkStart w:id="0" w:name="_GoBack"/>
      <w:bookmarkEnd w:id="0"/>
      <w:r w:rsidRPr="00BD08A0">
        <w:rPr>
          <w:b/>
          <w:iCs/>
          <w:color w:val="000000"/>
          <w:sz w:val="22"/>
          <w:szCs w:val="22"/>
        </w:rPr>
        <w:t>результат составил 703,7 миллиарда корейских вон. Наибольшую роль в этих показателях сыграл рост сбыта шин больших диаметров от 17 дюймов на таких ключевых рынках, как Европа и США.</w:t>
      </w:r>
    </w:p>
    <w:p w14:paraId="62BE845A" w14:textId="77777777" w:rsidR="001E5577" w:rsidRPr="00BD08A0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14:paraId="11398647" w14:textId="6C3F8165" w:rsidR="00537A82" w:rsidRPr="00BD08A0" w:rsidRDefault="00FB25E6" w:rsidP="00753BD2">
      <w:pPr>
        <w:spacing w:line="276" w:lineRule="auto"/>
        <w:rPr>
          <w:rFonts w:eastAsia="Batang"/>
          <w:iCs/>
          <w:color w:val="000000"/>
          <w:sz w:val="21"/>
          <w:szCs w:val="21"/>
        </w:rPr>
      </w:pPr>
      <w:r w:rsidRPr="00BD08A0">
        <w:rPr>
          <w:b/>
          <w:i/>
          <w:color w:val="auto"/>
          <w:sz w:val="21"/>
          <w:szCs w:val="21"/>
        </w:rPr>
        <w:t>Сеул, Корея/Ной-Изенбург, Германия, 1</w:t>
      </w:r>
      <w:r w:rsidR="00AA5769" w:rsidRPr="00AA5769">
        <w:rPr>
          <w:b/>
          <w:i/>
          <w:color w:val="auto"/>
          <w:sz w:val="21"/>
          <w:szCs w:val="21"/>
        </w:rPr>
        <w:t>5</w:t>
      </w:r>
      <w:r w:rsidRPr="00BD08A0">
        <w:rPr>
          <w:b/>
          <w:i/>
          <w:color w:val="auto"/>
          <w:sz w:val="21"/>
          <w:szCs w:val="21"/>
        </w:rPr>
        <w:t xml:space="preserve"> февраля 2019 г.</w:t>
      </w:r>
      <w:r w:rsidRPr="00BD08A0">
        <w:rPr>
          <w:sz w:val="21"/>
          <w:szCs w:val="21"/>
        </w:rPr>
        <w:t> </w:t>
      </w:r>
      <w:r w:rsidRPr="00BD08A0">
        <w:rPr>
          <w:iCs/>
          <w:color w:val="000000"/>
          <w:sz w:val="21"/>
          <w:szCs w:val="21"/>
        </w:rPr>
        <w:t xml:space="preserve">— Производитель шин премиум-класса Hankook опубликовал финансовые результаты за 2018 год. В течение периода, о котором говорится в докладе, мировой оборот предприятия достиг 6,79 триллиона корейских вон (или около 5,23 млрд евро), а операционная прибыль составила 703,7 млрд корейских вон (или около 541,9 млн евро). </w:t>
      </w:r>
    </w:p>
    <w:p w14:paraId="341D8AC2" w14:textId="77777777" w:rsidR="006D2055" w:rsidRPr="00BD08A0" w:rsidRDefault="006D2055" w:rsidP="00753BD2">
      <w:pPr>
        <w:spacing w:line="276" w:lineRule="auto"/>
        <w:rPr>
          <w:rFonts w:eastAsia="Batang"/>
          <w:iCs/>
          <w:color w:val="000000"/>
          <w:sz w:val="21"/>
          <w:szCs w:val="21"/>
          <w:highlight w:val="yellow"/>
          <w:lang w:eastAsia="ko-KR" w:bidi="ar-SA"/>
        </w:rPr>
      </w:pPr>
    </w:p>
    <w:p w14:paraId="71378A49" w14:textId="153815A4" w:rsidR="00917F0F" w:rsidRPr="00BD08A0" w:rsidRDefault="00917F0F" w:rsidP="00753BD2">
      <w:pPr>
        <w:spacing w:line="276" w:lineRule="auto"/>
        <w:rPr>
          <w:bCs/>
          <w:sz w:val="21"/>
          <w:szCs w:val="21"/>
        </w:rPr>
      </w:pPr>
      <w:r w:rsidRPr="00BD08A0">
        <w:rPr>
          <w:bCs/>
          <w:sz w:val="21"/>
          <w:szCs w:val="21"/>
        </w:rPr>
        <w:t>Глобальные передовые технологии Hankook Tire, а также первоклассное качество продукции способствовали росту сбыта в сегменте крупных шин для легковых автомобилей и кроссоверов с диаметром от 18 дюймов в Европе и США на 3,9 % по сравнению с прошлым годом. Это соответствует доле в 52,3 % в общем количестве проданных шин для легковых автомобилей.</w:t>
      </w:r>
    </w:p>
    <w:p w14:paraId="569E2C3A" w14:textId="14969DFC" w:rsidR="00917F0F" w:rsidRPr="00BD08A0" w:rsidRDefault="00917F0F" w:rsidP="00753BD2">
      <w:pPr>
        <w:spacing w:line="276" w:lineRule="auto"/>
        <w:rPr>
          <w:bCs/>
          <w:sz w:val="21"/>
          <w:szCs w:val="21"/>
        </w:rPr>
      </w:pPr>
      <w:r w:rsidRPr="00BD08A0">
        <w:rPr>
          <w:bCs/>
          <w:sz w:val="21"/>
          <w:szCs w:val="21"/>
        </w:rPr>
        <w:t xml:space="preserve"> </w:t>
      </w:r>
    </w:p>
    <w:p w14:paraId="1A451E38" w14:textId="58E15A97" w:rsidR="00B90C41" w:rsidRPr="00BD08A0" w:rsidRDefault="00B90C41" w:rsidP="00753BD2">
      <w:pPr>
        <w:spacing w:line="276" w:lineRule="auto"/>
        <w:rPr>
          <w:bCs/>
          <w:sz w:val="21"/>
          <w:szCs w:val="21"/>
        </w:rPr>
      </w:pPr>
      <w:r w:rsidRPr="00BD08A0">
        <w:rPr>
          <w:bCs/>
          <w:sz w:val="21"/>
          <w:szCs w:val="21"/>
        </w:rPr>
        <w:t>Улучшенные каналы дистрибуции на корейском рынке способствовали росту на рынке запасных колес и росту доли в объеме продаж шин большого диаметра, в особенности в четвертом квартале. Постоянно росли и обороты на рынке первичного оснащения кроссоверов и продаваемых в Америке автомобилей японских производителей.</w:t>
      </w:r>
    </w:p>
    <w:p w14:paraId="4A8262F1" w14:textId="2AED3E39" w:rsidR="0050441A" w:rsidRPr="00BD08A0" w:rsidRDefault="0050441A" w:rsidP="00753BD2">
      <w:pPr>
        <w:spacing w:line="276" w:lineRule="auto"/>
        <w:rPr>
          <w:bCs/>
          <w:sz w:val="21"/>
          <w:szCs w:val="21"/>
        </w:rPr>
      </w:pPr>
    </w:p>
    <w:p w14:paraId="6A78CEE5" w14:textId="55C0988B" w:rsidR="0050441A" w:rsidRPr="00BD08A0" w:rsidRDefault="0050441A" w:rsidP="00753BD2">
      <w:pPr>
        <w:spacing w:line="276" w:lineRule="auto"/>
        <w:rPr>
          <w:bCs/>
          <w:sz w:val="21"/>
          <w:szCs w:val="21"/>
        </w:rPr>
      </w:pPr>
      <w:r w:rsidRPr="00BD08A0">
        <w:rPr>
          <w:bCs/>
          <w:sz w:val="21"/>
          <w:szCs w:val="21"/>
        </w:rPr>
        <w:t>В целом упавший спрос в Китае привел к снижению оборотов на местных рынках первичного и запасного оснащения с негативными последствиями для общего финансового результата.</w:t>
      </w:r>
    </w:p>
    <w:p w14:paraId="1514B629" w14:textId="77777777" w:rsidR="0050441A" w:rsidRPr="00BD08A0" w:rsidRDefault="0050441A" w:rsidP="00753BD2">
      <w:pPr>
        <w:spacing w:line="276" w:lineRule="auto"/>
        <w:rPr>
          <w:bCs/>
          <w:sz w:val="21"/>
          <w:szCs w:val="21"/>
        </w:rPr>
      </w:pPr>
    </w:p>
    <w:p w14:paraId="296A4B65" w14:textId="4DAADA46" w:rsidR="00F7126F" w:rsidRPr="00BD08A0" w:rsidRDefault="00F7126F" w:rsidP="00753BD2">
      <w:pPr>
        <w:spacing w:line="276" w:lineRule="auto"/>
        <w:rPr>
          <w:bCs/>
          <w:sz w:val="21"/>
          <w:szCs w:val="21"/>
        </w:rPr>
      </w:pPr>
      <w:r w:rsidRPr="00BD08A0">
        <w:rPr>
          <w:sz w:val="21"/>
        </w:rPr>
        <w:t xml:space="preserve">В 2019 финансовом году Hankook рассчитывает на оборот в 7,4 триллиона корейских вон и оперативный результат в 750 млрд корейских вон. Кроме того, производитель шин будет стремиться к укреплению своей позиции как премиум-бренда, прежде всего путем расширения бизнеса за счет шин большого </w:t>
      </w:r>
      <w:r w:rsidRPr="00BD08A0">
        <w:rPr>
          <w:bCs/>
          <w:sz w:val="21"/>
          <w:szCs w:val="21"/>
        </w:rPr>
        <w:t>диаметра от 18 дюймов, путем поддержания постоянных отношений с производителями автомобилей премиум-класса в рамках первичного оснащения и путем усиления конкурентоспособности своей продукции в премиум-сегменте. Помимо этого, Hankook планирует расширение своего портфолио первичного оснащения с целью достижения стабильной структуры оборотов. Стратегии дистрибуции в регионах должны быть оптимизированы.</w:t>
      </w:r>
    </w:p>
    <w:p w14:paraId="26518045" w14:textId="4C46D386" w:rsidR="00F7126F" w:rsidRPr="00BD08A0" w:rsidRDefault="00F7126F" w:rsidP="00753BD2">
      <w:pPr>
        <w:spacing w:line="276" w:lineRule="auto"/>
        <w:rPr>
          <w:bCs/>
          <w:sz w:val="21"/>
          <w:szCs w:val="21"/>
        </w:rPr>
      </w:pPr>
    </w:p>
    <w:p w14:paraId="439D85F2" w14:textId="625E86E7" w:rsidR="004D76A2" w:rsidRPr="00BD08A0" w:rsidRDefault="005C5104" w:rsidP="00753BD2">
      <w:pPr>
        <w:spacing w:line="276" w:lineRule="auto"/>
        <w:rPr>
          <w:bCs/>
          <w:sz w:val="21"/>
          <w:szCs w:val="21"/>
        </w:rPr>
      </w:pPr>
      <w:r w:rsidRPr="00BD08A0">
        <w:rPr>
          <w:bCs/>
          <w:sz w:val="21"/>
          <w:szCs w:val="21"/>
        </w:rPr>
        <w:t>Чтобы иметь возможность еще более эффективно сотрудничать с представителями промышленности в быстро меняющихся условиях, компания стремится продолжить постоянное укрепление быстро развивающейся и гибкой структуры предприятия и создать проактивную корпоративную культуру путем инновационной организации рабочей среды для своих сотрудников, тем самым ускорив свое превращение в глобальную компанию высочайшего уровня.</w:t>
      </w:r>
    </w:p>
    <w:p w14:paraId="5A9E8527" w14:textId="0E671DD6" w:rsidR="00AA5769" w:rsidRDefault="005C5104" w:rsidP="00753BD2">
      <w:pPr>
        <w:spacing w:line="276" w:lineRule="auto"/>
        <w:jc w:val="center"/>
        <w:rPr>
          <w:bCs/>
          <w:sz w:val="21"/>
          <w:szCs w:val="21"/>
        </w:rPr>
      </w:pPr>
      <w:r w:rsidRPr="00BD08A0">
        <w:rPr>
          <w:bCs/>
          <w:sz w:val="21"/>
          <w:szCs w:val="21"/>
        </w:rPr>
        <w:t>###</w:t>
      </w:r>
      <w:r w:rsidR="00AA5769">
        <w:rPr>
          <w:bCs/>
          <w:sz w:val="21"/>
          <w:szCs w:val="21"/>
        </w:rPr>
        <w:br w:type="page"/>
      </w:r>
    </w:p>
    <w:p w14:paraId="3C0C477E" w14:textId="77777777" w:rsidR="005C5104" w:rsidRPr="00BD08A0" w:rsidRDefault="005C5104" w:rsidP="00BD08A0">
      <w:pPr>
        <w:spacing w:line="360" w:lineRule="auto"/>
        <w:jc w:val="center"/>
        <w:rPr>
          <w:bCs/>
          <w:sz w:val="21"/>
          <w:szCs w:val="21"/>
        </w:rPr>
      </w:pPr>
    </w:p>
    <w:p w14:paraId="66222D08" w14:textId="77777777" w:rsidR="00AA5769" w:rsidRPr="00056BA7" w:rsidRDefault="00AA5769" w:rsidP="00AA5769">
      <w:pPr>
        <w:widowControl/>
        <w:jc w:val="left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Q4</w:t>
      </w:r>
      <w:r w:rsidRPr="00056BA7">
        <w:rPr>
          <w:rFonts w:asciiTheme="minorBidi" w:hAnsiTheme="minorBidi" w:cstheme="minorBidi"/>
          <w:b/>
          <w:sz w:val="22"/>
          <w:szCs w:val="22"/>
        </w:rPr>
        <w:t xml:space="preserve"> 201</w:t>
      </w:r>
      <w:r>
        <w:rPr>
          <w:rFonts w:asciiTheme="minorBidi" w:hAnsiTheme="minorBidi" w:cstheme="minorBidi"/>
          <w:b/>
          <w:sz w:val="22"/>
          <w:szCs w:val="22"/>
        </w:rPr>
        <w:t>8</w:t>
      </w:r>
      <w:r w:rsidRPr="00056BA7">
        <w:rPr>
          <w:rFonts w:asciiTheme="minorBidi" w:hAnsiTheme="minorBidi" w:cstheme="minorBidi"/>
          <w:b/>
          <w:sz w:val="22"/>
          <w:szCs w:val="22"/>
        </w:rPr>
        <w:t xml:space="preserve"> Consolidated Financial Result</w:t>
      </w: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98"/>
        <w:gridCol w:w="2599"/>
        <w:gridCol w:w="2599"/>
      </w:tblGrid>
      <w:tr w:rsidR="00AA5769" w:rsidRPr="00056BA7" w14:paraId="17016593" w14:textId="77777777" w:rsidTr="0088370F">
        <w:trPr>
          <w:trHeight w:val="342"/>
        </w:trPr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482668F8" w14:textId="77777777" w:rsidR="00AA5769" w:rsidRPr="00056BA7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(Unit: Billion KRW)</w:t>
            </w:r>
          </w:p>
        </w:tc>
        <w:tc>
          <w:tcPr>
            <w:tcW w:w="25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495BC80" w14:textId="77777777" w:rsidR="00AA5769" w:rsidRPr="00056BA7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7F6D3C22" w14:textId="77777777" w:rsidR="00AA5769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1CA8E90D" w14:textId="77777777" w:rsidR="00AA5769" w:rsidRPr="00056BA7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AA5769" w:rsidRPr="00D8322A" w14:paraId="390E064A" w14:textId="77777777" w:rsidTr="0088370F">
        <w:trPr>
          <w:trHeight w:val="342"/>
        </w:trPr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A287AE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D8322A">
              <w:rPr>
                <w:rFonts w:asciiTheme="minorBidi" w:hAnsiTheme="minorBidi"/>
                <w:b/>
                <w:color w:val="000000" w:themeColor="text1"/>
              </w:rPr>
              <w:t>Sales</w:t>
            </w:r>
          </w:p>
        </w:tc>
        <w:tc>
          <w:tcPr>
            <w:tcW w:w="25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3BD86F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1,682.30</w:t>
            </w:r>
          </w:p>
        </w:tc>
        <w:tc>
          <w:tcPr>
            <w:tcW w:w="2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EAD2F9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1,755.40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2AC5A38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1,725.60</w:t>
            </w:r>
          </w:p>
        </w:tc>
      </w:tr>
      <w:tr w:rsidR="00AA5769" w:rsidRPr="00D8322A" w14:paraId="086EEDEC" w14:textId="77777777" w:rsidTr="0088370F">
        <w:trPr>
          <w:trHeight w:val="342"/>
        </w:trPr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6A140698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D8322A">
              <w:rPr>
                <w:rFonts w:asciiTheme="minorBidi" w:hAnsiTheme="minorBidi"/>
                <w:b/>
                <w:color w:val="000000" w:themeColor="text1"/>
              </w:rPr>
              <w:t>Operating Profit</w:t>
            </w:r>
          </w:p>
        </w:tc>
        <w:tc>
          <w:tcPr>
            <w:tcW w:w="2598" w:type="dxa"/>
            <w:tcBorders>
              <w:right w:val="double" w:sz="4" w:space="0" w:color="auto"/>
            </w:tcBorders>
            <w:vAlign w:val="center"/>
          </w:tcPr>
          <w:p w14:paraId="1D4DDA86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139.40</w:t>
            </w:r>
          </w:p>
        </w:tc>
        <w:tc>
          <w:tcPr>
            <w:tcW w:w="2599" w:type="dxa"/>
            <w:tcBorders>
              <w:right w:val="double" w:sz="4" w:space="0" w:color="auto"/>
            </w:tcBorders>
            <w:vAlign w:val="center"/>
          </w:tcPr>
          <w:p w14:paraId="4EC51055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187.50</w:t>
            </w:r>
          </w:p>
        </w:tc>
        <w:tc>
          <w:tcPr>
            <w:tcW w:w="2599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107BEB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146.10</w:t>
            </w:r>
          </w:p>
        </w:tc>
      </w:tr>
    </w:tbl>
    <w:p w14:paraId="22AA1A7A" w14:textId="77777777" w:rsidR="00AA5769" w:rsidRPr="00D8322A" w:rsidRDefault="00AA5769" w:rsidP="00AA5769">
      <w:pPr>
        <w:rPr>
          <w:rFonts w:asciiTheme="minorBidi" w:hAnsiTheme="minorBidi" w:cstheme="minorBidi"/>
          <w:color w:val="000000" w:themeColor="text1"/>
          <w:sz w:val="22"/>
          <w:szCs w:val="22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AA5769" w:rsidRPr="00D8322A" w14:paraId="5CFC3889" w14:textId="77777777" w:rsidTr="0088370F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72C68672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D8322A">
              <w:rPr>
                <w:rFonts w:asciiTheme="minorBidi" w:hAnsiTheme="minorBidi"/>
                <w:b/>
                <w:color w:val="FFFFFF" w:themeColor="background1"/>
              </w:rPr>
              <w:t>(Unit: Million USD)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4520B23C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2627427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660EB32A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AA5769" w:rsidRPr="00D8322A" w14:paraId="6780869E" w14:textId="77777777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1B749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14B5A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1,521.</w:t>
            </w:r>
            <w:r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A4A1BF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1,56</w:t>
            </w:r>
            <w:r>
              <w:rPr>
                <w:rFonts w:asciiTheme="minorBidi" w:hAnsiTheme="minorBidi"/>
                <w:b/>
              </w:rPr>
              <w:t>5.1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DE055D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1,530.5</w:t>
            </w:r>
          </w:p>
        </w:tc>
      </w:tr>
      <w:tr w:rsidR="00AA5769" w:rsidRPr="00D8322A" w14:paraId="5710D31C" w14:textId="77777777" w:rsidTr="0088370F">
        <w:trPr>
          <w:trHeight w:val="363"/>
        </w:trPr>
        <w:tc>
          <w:tcPr>
            <w:tcW w:w="2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8B94054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5A3B2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12</w:t>
            </w:r>
            <w:r>
              <w:rPr>
                <w:rFonts w:asciiTheme="minorBidi" w:hAnsiTheme="minorBidi"/>
                <w:b/>
              </w:rPr>
              <w:t>6.1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59A96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167.2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C84BCE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129.6</w:t>
            </w:r>
          </w:p>
        </w:tc>
      </w:tr>
    </w:tbl>
    <w:p w14:paraId="3B7FB8A2" w14:textId="77777777" w:rsidR="00AA5769" w:rsidRPr="00D8322A" w:rsidRDefault="00AA5769" w:rsidP="00AA5769">
      <w:pPr>
        <w:rPr>
          <w:color w:val="FFFFFF" w:themeColor="background1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AA5769" w:rsidRPr="00D8322A" w14:paraId="5F0A7CC3" w14:textId="77777777" w:rsidTr="0088370F">
        <w:trPr>
          <w:trHeight w:val="363"/>
        </w:trPr>
        <w:tc>
          <w:tcPr>
            <w:tcW w:w="25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2DDAE210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D8322A">
              <w:rPr>
                <w:rFonts w:asciiTheme="minorBidi" w:hAnsiTheme="minorBidi"/>
                <w:b/>
                <w:color w:val="FFFFFF" w:themeColor="background1"/>
              </w:rPr>
              <w:t>(Unit: Million EUR)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411F5707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A5A91DD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2F9AC1D3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AA5769" w:rsidRPr="00D8322A" w14:paraId="65C2A387" w14:textId="77777777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613F20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F72E3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1,292.3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A73426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,345.9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886CCC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,341.4</w:t>
            </w:r>
          </w:p>
        </w:tc>
      </w:tr>
      <w:tr w:rsidR="00AA5769" w:rsidRPr="001A61C5" w14:paraId="0D0D4D6D" w14:textId="77777777" w:rsidTr="0088370F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14:paraId="77084E94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B6A1F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07.1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E2DF88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43.8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A64E0E" w14:textId="77777777" w:rsidR="00AA5769" w:rsidRPr="00553142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13.6</w:t>
            </w:r>
          </w:p>
        </w:tc>
      </w:tr>
    </w:tbl>
    <w:p w14:paraId="525FF602" w14:textId="77777777" w:rsidR="00AA5769" w:rsidRPr="001A61C5" w:rsidRDefault="00AA5769" w:rsidP="00AA5769">
      <w:pPr>
        <w:snapToGrid w:val="0"/>
        <w:ind w:leftChars="71" w:left="142" w:rightChars="56" w:right="112"/>
        <w:rPr>
          <w:rFonts w:asciiTheme="minorBidi" w:hAnsiTheme="minorBidi" w:cstheme="minorBidi"/>
          <w:sz w:val="22"/>
          <w:szCs w:val="22"/>
        </w:rPr>
      </w:pPr>
    </w:p>
    <w:p w14:paraId="466D9965" w14:textId="77777777" w:rsidR="00AA5769" w:rsidRPr="001A61C5" w:rsidRDefault="00AA5769" w:rsidP="00AA5769">
      <w:pPr>
        <w:snapToGrid w:val="0"/>
        <w:ind w:leftChars="71" w:left="142" w:rightChars="56" w:right="112"/>
        <w:rPr>
          <w:rFonts w:asciiTheme="minorBidi" w:hAnsiTheme="minorBidi" w:cstheme="minorBidi"/>
          <w:b/>
          <w:i/>
          <w:sz w:val="22"/>
          <w:szCs w:val="22"/>
        </w:rPr>
      </w:pPr>
      <w:r w:rsidRPr="001A61C5">
        <w:rPr>
          <w:rFonts w:asciiTheme="minorBidi" w:hAnsiTheme="minorBidi" w:cstheme="minorBidi"/>
          <w:b/>
          <w:i/>
          <w:sz w:val="22"/>
          <w:szCs w:val="22"/>
        </w:rPr>
        <w:t>*Exchange Rates:</w:t>
      </w: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AA5769" w:rsidRPr="001A61C5" w14:paraId="76FE1CFE" w14:textId="77777777" w:rsidTr="0088370F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75A29C64" w14:textId="77777777" w:rsidR="00AA5769" w:rsidRPr="001A61C5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7A56AD53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A4432E0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560A09A" w14:textId="77777777" w:rsidR="00AA5769" w:rsidRPr="00D8322A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AA5769" w:rsidRPr="001A61C5" w14:paraId="6CAFB24B" w14:textId="77777777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AB2F71" w14:textId="77777777" w:rsidR="00AA5769" w:rsidRPr="00256574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256574">
              <w:rPr>
                <w:rFonts w:asciiTheme="minorBidi" w:hAnsiTheme="minorBidi"/>
                <w:b/>
              </w:rPr>
              <w:t>USD / KRW</w:t>
            </w:r>
          </w:p>
        </w:tc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</w:tcPr>
          <w:p w14:paraId="7B47BC91" w14:textId="77777777" w:rsidR="00AA5769" w:rsidRPr="00256574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1,105.7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1A0190" w14:textId="77777777" w:rsidR="00AA5769" w:rsidRPr="00256574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1,121.6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2BAA098" w14:textId="77777777" w:rsidR="00AA5769" w:rsidRPr="00256574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1,127.5</w:t>
            </w:r>
          </w:p>
        </w:tc>
      </w:tr>
      <w:tr w:rsidR="00AA5769" w:rsidRPr="001A61C5" w14:paraId="61A58786" w14:textId="77777777" w:rsidTr="0088370F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14:paraId="2B57E79A" w14:textId="77777777" w:rsidR="00AA5769" w:rsidRPr="00256574" w:rsidRDefault="00AA5769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256574">
              <w:rPr>
                <w:rFonts w:asciiTheme="minorBidi" w:hAnsiTheme="minorBidi"/>
                <w:b/>
              </w:rPr>
              <w:t>EUR / KRW</w:t>
            </w:r>
          </w:p>
        </w:tc>
        <w:tc>
          <w:tcPr>
            <w:tcW w:w="2587" w:type="dxa"/>
            <w:tcBorders>
              <w:right w:val="double" w:sz="4" w:space="0" w:color="auto"/>
            </w:tcBorders>
          </w:tcPr>
          <w:p w14:paraId="665CB843" w14:textId="77777777" w:rsidR="00AA5769" w:rsidRPr="00256574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1,301.8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15E0D2" w14:textId="77777777" w:rsidR="00AA5769" w:rsidRPr="00256574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1,304.3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vAlign w:val="center"/>
          </w:tcPr>
          <w:p w14:paraId="785EA324" w14:textId="77777777" w:rsidR="00AA5769" w:rsidRPr="00256574" w:rsidRDefault="00AA5769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1,286.4</w:t>
            </w:r>
          </w:p>
        </w:tc>
      </w:tr>
    </w:tbl>
    <w:p w14:paraId="264D0BCE" w14:textId="77777777" w:rsidR="00AA5769" w:rsidRPr="00FE6536" w:rsidRDefault="00AA5769" w:rsidP="00AA5769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4CA956E" w14:textId="77777777" w:rsidR="00AA5769" w:rsidRPr="00FE6536" w:rsidRDefault="00AA5769" w:rsidP="00AA5769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color w:val="000000" w:themeColor="text1"/>
          <w:sz w:val="22"/>
          <w:szCs w:val="22"/>
          <w:shd w:val="clear" w:color="auto" w:fill="FFFFFF" w:themeFill="background1"/>
        </w:rPr>
      </w:pPr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201</w:t>
      </w:r>
      <w:r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8</w:t>
      </w:r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Consolidated Financial Result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090"/>
        <w:gridCol w:w="3090"/>
      </w:tblGrid>
      <w:tr w:rsidR="00AA5769" w:rsidRPr="00FE6536" w14:paraId="2700D033" w14:textId="77777777" w:rsidTr="0088370F">
        <w:trPr>
          <w:trHeight w:val="362"/>
        </w:trPr>
        <w:tc>
          <w:tcPr>
            <w:tcW w:w="2550" w:type="dxa"/>
            <w:shd w:val="clear" w:color="auto" w:fill="7F7F7F"/>
            <w:vAlign w:val="center"/>
            <w:hideMark/>
          </w:tcPr>
          <w:p w14:paraId="1AD394A0" w14:textId="77777777" w:rsidR="00AA5769" w:rsidRPr="00FE6536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(Unit: Billion KRW)</w:t>
            </w:r>
          </w:p>
        </w:tc>
        <w:tc>
          <w:tcPr>
            <w:tcW w:w="3090" w:type="dxa"/>
            <w:shd w:val="clear" w:color="auto" w:fill="7F7F7F"/>
            <w:vAlign w:val="center"/>
          </w:tcPr>
          <w:p w14:paraId="41F974BF" w14:textId="77777777" w:rsidR="00AA5769" w:rsidRPr="00FE6536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090" w:type="dxa"/>
            <w:shd w:val="clear" w:color="auto" w:fill="7F7F7F"/>
            <w:vAlign w:val="center"/>
          </w:tcPr>
          <w:p w14:paraId="1A00AD30" w14:textId="77777777" w:rsidR="00AA5769" w:rsidRPr="00FE6536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AA5769" w:rsidRPr="00D8322A" w14:paraId="37E5C6C6" w14:textId="77777777" w:rsidTr="0088370F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14:paraId="653FEC1F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090" w:type="dxa"/>
            <w:vAlign w:val="center"/>
          </w:tcPr>
          <w:p w14:paraId="605258EC" w14:textId="77777777" w:rsidR="00AA5769" w:rsidRPr="00D8322A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6,812.9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22A32A5" w14:textId="77777777" w:rsidR="00AA5769" w:rsidRPr="00D8322A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6,795</w:t>
            </w:r>
            <w:r w:rsidRPr="00D8322A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AA5769" w:rsidRPr="00D8322A" w14:paraId="2AA4AB43" w14:textId="77777777" w:rsidTr="0088370F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14:paraId="050763D0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090" w:type="dxa"/>
            <w:vAlign w:val="center"/>
          </w:tcPr>
          <w:p w14:paraId="078CD9CA" w14:textId="77777777" w:rsidR="00AA5769" w:rsidRPr="00D8322A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793.4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18BC8D7" w14:textId="77777777" w:rsidR="00AA5769" w:rsidRPr="00D8322A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70</w:t>
            </w:r>
            <w:r w:rsidRPr="00D8322A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3.7</w:t>
            </w:r>
          </w:p>
        </w:tc>
      </w:tr>
    </w:tbl>
    <w:p w14:paraId="0A4AE3F0" w14:textId="77777777" w:rsidR="00AA5769" w:rsidRPr="00D8322A" w:rsidRDefault="00AA5769" w:rsidP="00AA5769">
      <w:pPr>
        <w:widowControl/>
        <w:jc w:val="left"/>
        <w:rPr>
          <w:rFonts w:asciiTheme="minorBidi" w:eastAsia="Gulim" w:hAnsiTheme="minorBidi" w:cstheme="minorBidi"/>
          <w:sz w:val="22"/>
          <w:szCs w:val="22"/>
        </w:rPr>
      </w:pPr>
      <w:r w:rsidRPr="00D8322A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AA5769" w:rsidRPr="00D8322A" w14:paraId="369A9875" w14:textId="77777777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7617234F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FFFFFF"/>
                <w:sz w:val="22"/>
                <w:szCs w:val="22"/>
              </w:rPr>
              <w:t>(Unit: Million USD)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70B28595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0BBB96F3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b/>
                <w:color w:val="222222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AA5769" w:rsidRPr="00D8322A" w14:paraId="36331A08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63D79279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222222"/>
                <w:sz w:val="22"/>
                <w:szCs w:val="22"/>
              </w:rPr>
              <w:t>Sales</w:t>
            </w:r>
          </w:p>
        </w:tc>
        <w:tc>
          <w:tcPr>
            <w:tcW w:w="3120" w:type="dxa"/>
          </w:tcPr>
          <w:p w14:paraId="601B2138" w14:textId="77777777" w:rsidR="00AA5769" w:rsidRPr="00D8322A" w:rsidRDefault="00AA5769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  <w:t>,024.6</w:t>
            </w:r>
          </w:p>
        </w:tc>
        <w:tc>
          <w:tcPr>
            <w:tcW w:w="3120" w:type="dxa"/>
            <w:shd w:val="clear" w:color="auto" w:fill="auto"/>
          </w:tcPr>
          <w:p w14:paraId="0BD64574" w14:textId="77777777" w:rsidR="00AA5769" w:rsidRPr="00D8322A" w:rsidRDefault="00AA5769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color w:val="000000" w:themeColor="text1"/>
                <w:sz w:val="22"/>
                <w:szCs w:val="22"/>
              </w:rPr>
              <w:t>6,17</w:t>
            </w:r>
            <w:r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  <w:t xml:space="preserve">6.0 </w:t>
            </w:r>
          </w:p>
        </w:tc>
      </w:tr>
      <w:tr w:rsidR="00AA5769" w:rsidRPr="00D8322A" w14:paraId="0DD311B4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617A62CC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222222"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</w:tcPr>
          <w:p w14:paraId="2F2D074C" w14:textId="77777777" w:rsidR="00AA5769" w:rsidRPr="00D8322A" w:rsidRDefault="00AA5769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bCs/>
                <w:color w:val="000000" w:themeColor="text1"/>
                <w:sz w:val="22"/>
                <w:szCs w:val="22"/>
              </w:rPr>
              <w:t>701.6</w:t>
            </w:r>
          </w:p>
        </w:tc>
        <w:tc>
          <w:tcPr>
            <w:tcW w:w="3120" w:type="dxa"/>
            <w:shd w:val="clear" w:color="auto" w:fill="auto"/>
          </w:tcPr>
          <w:p w14:paraId="6D7DCA9E" w14:textId="77777777" w:rsidR="00AA5769" w:rsidRPr="00D8322A" w:rsidRDefault="00AA5769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329BC">
              <w:rPr>
                <w:rFonts w:asciiTheme="minorBidi" w:eastAsia="Malgun Gothic" w:hAnsiTheme="minorBidi" w:cstheme="minorBidi" w:hint="eastAsia"/>
                <w:b/>
                <w:sz w:val="22"/>
                <w:szCs w:val="22"/>
              </w:rPr>
              <w:t>639.6</w:t>
            </w:r>
          </w:p>
        </w:tc>
      </w:tr>
    </w:tbl>
    <w:p w14:paraId="755AD511" w14:textId="77777777" w:rsidR="00AA5769" w:rsidRPr="00D8322A" w:rsidRDefault="00AA5769" w:rsidP="00AA5769">
      <w:pPr>
        <w:widowControl/>
        <w:spacing w:line="207" w:lineRule="atLeast"/>
        <w:ind w:left="142" w:right="112"/>
        <w:jc w:val="left"/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</w:pPr>
      <w:r w:rsidRPr="00D8322A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AA5769" w:rsidRPr="00D8322A" w14:paraId="2C3F7B1B" w14:textId="77777777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38ACF399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(Unit: Million EUR)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5E0A0953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42149FB3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AA5769" w:rsidRPr="00D8322A" w14:paraId="631F264A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1A6295ED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120" w:type="dxa"/>
            <w:vAlign w:val="center"/>
          </w:tcPr>
          <w:p w14:paraId="531E53C7" w14:textId="77777777" w:rsidR="00AA5769" w:rsidRPr="00941E80" w:rsidRDefault="00AA5769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941E80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5,337</w:t>
            </w:r>
            <w:r w:rsidRPr="00941E80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.6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D80D95A" w14:textId="77777777" w:rsidR="00AA5769" w:rsidRPr="00D8322A" w:rsidRDefault="00AA5769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5,232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.8</w:t>
            </w:r>
          </w:p>
        </w:tc>
      </w:tr>
      <w:tr w:rsidR="00AA5769" w:rsidRPr="00FE6536" w14:paraId="54F014B7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3D0CC17F" w14:textId="77777777" w:rsidR="00AA5769" w:rsidRPr="00D8322A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  <w:vAlign w:val="center"/>
          </w:tcPr>
          <w:p w14:paraId="2D67EC18" w14:textId="77777777" w:rsidR="00AA5769" w:rsidRPr="00941E80" w:rsidRDefault="00AA5769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941E80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621.</w:t>
            </w:r>
            <w:r w:rsidRPr="00941E80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6D92F16" w14:textId="77777777" w:rsidR="00AA5769" w:rsidRPr="00DD55C9" w:rsidRDefault="00AA5769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541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.9</w:t>
            </w:r>
          </w:p>
        </w:tc>
      </w:tr>
    </w:tbl>
    <w:p w14:paraId="19579363" w14:textId="77777777" w:rsidR="00AA5769" w:rsidRPr="00FE6536" w:rsidRDefault="00AA5769" w:rsidP="00AA5769">
      <w:pPr>
        <w:widowControl/>
        <w:spacing w:line="207" w:lineRule="atLeast"/>
        <w:ind w:left="142" w:right="112"/>
        <w:jc w:val="left"/>
        <w:rPr>
          <w:rFonts w:asciiTheme="minorBidi" w:eastAsia="Gulim" w:hAnsiTheme="minorBidi" w:cstheme="minorBidi"/>
          <w:sz w:val="22"/>
          <w:szCs w:val="22"/>
        </w:rPr>
      </w:pPr>
      <w:r w:rsidRPr="00FE6536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p w14:paraId="4FBE0DD0" w14:textId="77777777" w:rsidR="00AA5769" w:rsidRPr="00FE6536" w:rsidRDefault="00AA5769" w:rsidP="00AA5769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color w:val="000000" w:themeColor="text1"/>
          <w:sz w:val="22"/>
          <w:szCs w:val="22"/>
          <w:shd w:val="clear" w:color="auto" w:fill="FFFFFF"/>
        </w:rPr>
      </w:pPr>
      <w:r w:rsidRPr="00FE6536">
        <w:rPr>
          <w:rFonts w:asciiTheme="minorBidi" w:eastAsia="Malgun Gothic" w:hAnsiTheme="minorBidi" w:cstheme="min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*Exchange Rates: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AA5769" w:rsidRPr="00FE6536" w14:paraId="2B0CDA9A" w14:textId="77777777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4924BE07" w14:textId="77777777" w:rsidR="00AA5769" w:rsidRPr="00FE6536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219AE7BD" w14:textId="77777777" w:rsidR="00AA5769" w:rsidRPr="00FE6536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4EB9054B" w14:textId="77777777" w:rsidR="00AA5769" w:rsidRPr="00DD55C9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AA5769" w:rsidRPr="00FE6536" w14:paraId="6BE7343D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272AFCF2" w14:textId="77777777" w:rsidR="00AA5769" w:rsidRPr="00FE6536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USD / KRW</w:t>
            </w:r>
          </w:p>
        </w:tc>
        <w:tc>
          <w:tcPr>
            <w:tcW w:w="3120" w:type="dxa"/>
            <w:vAlign w:val="center"/>
          </w:tcPr>
          <w:p w14:paraId="37368FD4" w14:textId="77777777" w:rsidR="00AA5769" w:rsidRPr="00503DEF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03DEF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1,130.84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3388F88" w14:textId="77777777" w:rsidR="00AA5769" w:rsidRPr="00DD55C9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1,100.3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AA5769" w:rsidRPr="00FE6536" w14:paraId="79DC8A94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1FCBEE37" w14:textId="77777777" w:rsidR="00AA5769" w:rsidRPr="00FE6536" w:rsidRDefault="00AA5769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EUR / KRW</w:t>
            </w:r>
          </w:p>
        </w:tc>
        <w:tc>
          <w:tcPr>
            <w:tcW w:w="3120" w:type="dxa"/>
            <w:vAlign w:val="center"/>
          </w:tcPr>
          <w:p w14:paraId="6D7E76BD" w14:textId="77777777" w:rsidR="00AA5769" w:rsidRPr="00503DEF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03DEF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1,2</w:t>
            </w:r>
            <w:r w:rsidRPr="00503DEF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76.39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79E2ACC" w14:textId="77777777" w:rsidR="00AA5769" w:rsidRPr="00DD55C9" w:rsidRDefault="00AA5769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1,298.63</w:t>
            </w:r>
          </w:p>
        </w:tc>
      </w:tr>
    </w:tbl>
    <w:p w14:paraId="1CBD51FE" w14:textId="77777777" w:rsidR="00AA5769" w:rsidRPr="00FE6536" w:rsidRDefault="00AA5769" w:rsidP="00AA5769">
      <w:pPr>
        <w:rPr>
          <w:rFonts w:ascii="Arial" w:hAnsi="Arial" w:cs="Arial"/>
          <w:i/>
          <w:iCs/>
          <w:sz w:val="18"/>
          <w:szCs w:val="18"/>
        </w:rPr>
      </w:pPr>
      <w:r w:rsidRPr="00FE6536">
        <w:rPr>
          <w:rFonts w:ascii="Arial" w:hAnsi="Arial" w:cs="Arial"/>
          <w:i/>
          <w:iCs/>
          <w:sz w:val="18"/>
          <w:szCs w:val="18"/>
        </w:rPr>
        <w:t>(NOTE: Average exchange rates for the given annual period, retrieved from Korea Exchange Bank)</w:t>
      </w:r>
    </w:p>
    <w:p w14:paraId="5A29B6E5" w14:textId="35F601FC" w:rsidR="004A0741" w:rsidRPr="00AA5769" w:rsidRDefault="00AA5769" w:rsidP="00AA5769">
      <w:pPr>
        <w:widowControl/>
        <w:spacing w:after="200" w:line="276" w:lineRule="auto"/>
        <w:jc w:val="left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br w:type="page"/>
      </w:r>
    </w:p>
    <w:p w14:paraId="0D5A58FE" w14:textId="77777777" w:rsidR="004A0741" w:rsidRPr="004F7401" w:rsidRDefault="004A0741" w:rsidP="004A0741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lastRenderedPageBreak/>
        <w:t>О компании Hankook</w:t>
      </w:r>
    </w:p>
    <w:p w14:paraId="5E14CE08" w14:textId="77777777" w:rsidR="004A0741" w:rsidRPr="004F7401" w:rsidRDefault="004A0741" w:rsidP="004A0741">
      <w:pPr>
        <w:spacing w:line="320" w:lineRule="exact"/>
        <w:rPr>
          <w:b/>
          <w:bCs/>
          <w:sz w:val="21"/>
          <w:szCs w:val="21"/>
        </w:rPr>
      </w:pPr>
    </w:p>
    <w:p w14:paraId="5F30E6DD" w14:textId="77777777" w:rsidR="004A0741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на глобальном уровне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7215A3F1" w14:textId="77777777" w:rsidR="004A0741" w:rsidRPr="00280474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433F57D3" w14:textId="77777777" w:rsidR="004A0741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eastAsia="Calibri"/>
          <w:sz w:val="21"/>
          <w:szCs w:val="21"/>
          <w:lang w:eastAsia="de-DE" w:bidi="ar-SA"/>
        </w:rPr>
        <w:t>Около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14:paraId="70191C7B" w14:textId="77777777" w:rsidR="004A0741" w:rsidRPr="00280474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0E668AEE" w14:textId="77777777" w:rsidR="004A0741" w:rsidRPr="00F22215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  <w:lang w:eastAsia="de-DE" w:bidi="ar-SA"/>
        </w:rPr>
        <w:t xml:space="preserve"> </w:t>
      </w:r>
      <w:r w:rsidRPr="004069EA">
        <w:rPr>
          <w:rFonts w:eastAsia="Calibri"/>
          <w:sz w:val="21"/>
          <w:szCs w:val="21"/>
          <w:lang w:eastAsia="de-DE" w:bidi="ar-SA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  <w:lang w:eastAsia="de-DE" w:bidi="ar-SA"/>
        </w:rPr>
        <w:t xml:space="preserve">. </w:t>
      </w:r>
      <w:r w:rsidRPr="00280474">
        <w:rPr>
          <w:rFonts w:eastAsia="Calibri"/>
          <w:sz w:val="21"/>
          <w:szCs w:val="21"/>
          <w:lang w:eastAsia="de-DE" w:bidi="ar-SA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eastAsia="Calibri"/>
          <w:sz w:val="21"/>
          <w:szCs w:val="21"/>
          <w:lang w:eastAsia="de-DE" w:bidi="ar-SA"/>
        </w:rPr>
        <w:t>порядка</w:t>
      </w:r>
      <w:r w:rsidRPr="00280474">
        <w:rPr>
          <w:rFonts w:eastAsia="Calibri"/>
          <w:sz w:val="21"/>
          <w:szCs w:val="21"/>
          <w:lang w:eastAsia="de-DE" w:bidi="ar-SA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 w:bidi="ar-SA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0EEC83D6" w14:textId="77777777" w:rsidR="004A0741" w:rsidRPr="00280474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228A6523" w14:textId="77777777" w:rsidR="004A0741" w:rsidRPr="005B5007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9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 </w:t>
      </w:r>
    </w:p>
    <w:p w14:paraId="3256B2A1" w14:textId="77777777" w:rsidR="004A0741" w:rsidRPr="00280474" w:rsidRDefault="004A0741" w:rsidP="004A074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A0741" w14:paraId="00C58EB8" w14:textId="77777777" w:rsidTr="009C75C4">
        <w:tc>
          <w:tcPr>
            <w:tcW w:w="9437" w:type="dxa"/>
            <w:gridSpan w:val="4"/>
            <w:shd w:val="clear" w:color="auto" w:fill="F2F2F2" w:themeFill="background1" w:themeFillShade="F2"/>
          </w:tcPr>
          <w:p w14:paraId="430F85D5" w14:textId="77777777" w:rsidR="004A0741" w:rsidRDefault="004A0741" w:rsidP="009C75C4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</w:t>
            </w:r>
            <w:r>
              <w:rPr>
                <w:rFonts w:ascii="Times New Roman"/>
                <w:b/>
                <w:sz w:val="21"/>
                <w:u w:val="single"/>
              </w:rPr>
              <w:t xml:space="preserve"> </w:t>
            </w:r>
            <w:r>
              <w:rPr>
                <w:rFonts w:ascii="Times New Roman"/>
                <w:b/>
                <w:sz w:val="21"/>
                <w:u w:val="single"/>
              </w:rPr>
              <w:t>данные</w:t>
            </w:r>
            <w:r>
              <w:rPr>
                <w:rFonts w:ascii="Times New Roman"/>
                <w:b/>
                <w:sz w:val="21"/>
                <w:u w:val="single"/>
              </w:rPr>
              <w:t>:</w:t>
            </w:r>
          </w:p>
          <w:p w14:paraId="458E10D3" w14:textId="77777777" w:rsidR="004A0741" w:rsidRDefault="004A0741" w:rsidP="009C75C4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>Ленинградский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проспект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д</w:t>
            </w:r>
            <w:r>
              <w:rPr>
                <w:rFonts w:ascii="Times New Roman"/>
                <w:sz w:val="16"/>
              </w:rPr>
              <w:t xml:space="preserve">. 72 </w:t>
            </w:r>
            <w:r>
              <w:rPr>
                <w:rFonts w:ascii="Times New Roman"/>
                <w:sz w:val="16"/>
              </w:rPr>
              <w:t>корп</w:t>
            </w:r>
            <w:r>
              <w:rPr>
                <w:rFonts w:ascii="Times New Roman"/>
                <w:sz w:val="16"/>
              </w:rPr>
              <w:t xml:space="preserve">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  <w:p w14:paraId="76283D53" w14:textId="77777777" w:rsidR="004A0741" w:rsidRDefault="004A0741" w:rsidP="009C75C4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4A0741" w14:paraId="0D9C7759" w14:textId="77777777" w:rsidTr="009C75C4">
        <w:tc>
          <w:tcPr>
            <w:tcW w:w="2359" w:type="dxa"/>
            <w:shd w:val="clear" w:color="auto" w:fill="F2F2F2" w:themeFill="background1" w:themeFillShade="F2"/>
          </w:tcPr>
          <w:p w14:paraId="3600DC2C" w14:textId="77777777" w:rsidR="004A0741" w:rsidRDefault="004A0741" w:rsidP="009C75C4">
            <w:pPr>
              <w:rPr>
                <w:rFonts w:ascii="Times New Roman" w:eastAsia="Times New Roman"/>
                <w:b/>
                <w:snapToGrid w:val="0"/>
                <w:sz w:val="16"/>
                <w:szCs w:val="20"/>
              </w:rPr>
            </w:pPr>
            <w:r>
              <w:rPr>
                <w:b/>
                <w:snapToGrid w:val="0"/>
                <w:sz w:val="16"/>
              </w:rPr>
              <w:t>Анастасия Андриянова</w:t>
            </w:r>
          </w:p>
          <w:p w14:paraId="5A0B47B8" w14:textId="77777777" w:rsidR="004A0741" w:rsidRPr="00505004" w:rsidRDefault="004A0741" w:rsidP="009C75C4">
            <w:pPr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505004"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14:paraId="7DCB4AF0" w14:textId="77777777" w:rsidR="004A0741" w:rsidRPr="00863AD5" w:rsidRDefault="004A0741" w:rsidP="009C75C4">
            <w:pPr>
              <w:rPr>
                <w:rFonts w:ascii="Times New Roman"/>
                <w:snapToGrid w:val="0"/>
                <w:sz w:val="16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</w:t>
            </w:r>
            <w:r w:rsidRPr="00863AD5">
              <w:rPr>
                <w:rFonts w:ascii="Times New Roman"/>
                <w:snapToGrid w:val="0"/>
                <w:sz w:val="16"/>
              </w:rPr>
              <w:t>.: +7 (495) 268-0100</w:t>
            </w:r>
          </w:p>
          <w:p w14:paraId="7B06C502" w14:textId="77777777" w:rsidR="004A0741" w:rsidRDefault="00A829E9" w:rsidP="009C75C4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 w:history="1">
              <w:r w:rsidR="004A0741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4A0741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4A0741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4DC0C640" w14:textId="77777777" w:rsidR="004A0741" w:rsidRDefault="004A0741" w:rsidP="009C75C4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77826E12" w14:textId="77777777" w:rsidR="004A0741" w:rsidRPr="00CC5CB1" w:rsidRDefault="004A0741" w:rsidP="009C75C4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1C5AD29" w14:textId="77777777" w:rsidR="004A0741" w:rsidRDefault="004A0741" w:rsidP="009C75C4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7790EB36" w14:textId="77777777" w:rsidR="004A0741" w:rsidRDefault="004A0741" w:rsidP="009C75C4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14:paraId="469B4735" w14:textId="77777777" w:rsidR="004A0741" w:rsidRPr="005D4243" w:rsidRDefault="004A0741" w:rsidP="004A0741">
      <w:pPr>
        <w:spacing w:line="320" w:lineRule="exact"/>
      </w:pPr>
    </w:p>
    <w:p w14:paraId="4E0786BB" w14:textId="77777777" w:rsidR="004A0741" w:rsidRPr="007B1F21" w:rsidRDefault="004A0741" w:rsidP="004A0741">
      <w:pPr>
        <w:rPr>
          <w:b/>
          <w:bCs/>
          <w:sz w:val="21"/>
          <w:szCs w:val="21"/>
        </w:rPr>
      </w:pPr>
    </w:p>
    <w:p w14:paraId="756F3583" w14:textId="77777777" w:rsidR="006D3182" w:rsidRPr="00BD08A0" w:rsidRDefault="006D3182" w:rsidP="006D3182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sectPr w:rsidR="006D3182" w:rsidRPr="00BD08A0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B893" w14:textId="77777777" w:rsidR="00A829E9" w:rsidRDefault="00A829E9">
      <w:r>
        <w:separator/>
      </w:r>
    </w:p>
  </w:endnote>
  <w:endnote w:type="continuationSeparator" w:id="0">
    <w:p w14:paraId="1C84D6F2" w14:textId="77777777" w:rsidR="00A829E9" w:rsidRDefault="00A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A768" w14:textId="77777777" w:rsidR="00A829E9" w:rsidRDefault="00A829E9">
      <w:r>
        <w:separator/>
      </w:r>
    </w:p>
  </w:footnote>
  <w:footnote w:type="continuationSeparator" w:id="0">
    <w:p w14:paraId="4AAC7EF3" w14:textId="77777777" w:rsidR="00A829E9" w:rsidRDefault="00A8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9E4" w14:textId="77777777" w:rsidR="00322512" w:rsidRDefault="004A0D40">
    <w:pPr>
      <w:pStyle w:val="Kopfzeile"/>
    </w:pPr>
    <w:r>
      <w:rPr>
        <w:noProof/>
        <w:lang w:eastAsia="ru-RU" w:bidi="ar-SA"/>
      </w:rPr>
      <w:drawing>
        <wp:inline distT="0" distB="0" distL="0" distR="0" wp14:anchorId="1F562DDC" wp14:editId="482A05AC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07A3"/>
    <w:rsid w:val="000332FD"/>
    <w:rsid w:val="00037F89"/>
    <w:rsid w:val="00042B26"/>
    <w:rsid w:val="00046E26"/>
    <w:rsid w:val="000707C2"/>
    <w:rsid w:val="00077F63"/>
    <w:rsid w:val="0008133E"/>
    <w:rsid w:val="00084818"/>
    <w:rsid w:val="000B01AA"/>
    <w:rsid w:val="000B78B2"/>
    <w:rsid w:val="000B7F76"/>
    <w:rsid w:val="000C38D5"/>
    <w:rsid w:val="000D0075"/>
    <w:rsid w:val="000E504D"/>
    <w:rsid w:val="000E5B09"/>
    <w:rsid w:val="000E7AE6"/>
    <w:rsid w:val="000F383B"/>
    <w:rsid w:val="000F6C5B"/>
    <w:rsid w:val="000F728A"/>
    <w:rsid w:val="0011511D"/>
    <w:rsid w:val="00117BC6"/>
    <w:rsid w:val="001305C0"/>
    <w:rsid w:val="00132F98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B3DFD"/>
    <w:rsid w:val="001B3FB4"/>
    <w:rsid w:val="001B5CB0"/>
    <w:rsid w:val="001B6913"/>
    <w:rsid w:val="001B770D"/>
    <w:rsid w:val="001C306C"/>
    <w:rsid w:val="001C4688"/>
    <w:rsid w:val="001C50A7"/>
    <w:rsid w:val="001D1A33"/>
    <w:rsid w:val="001E02D0"/>
    <w:rsid w:val="001E1CA4"/>
    <w:rsid w:val="001E50B3"/>
    <w:rsid w:val="001E5577"/>
    <w:rsid w:val="001E5860"/>
    <w:rsid w:val="001E68CD"/>
    <w:rsid w:val="001F2CE5"/>
    <w:rsid w:val="00212149"/>
    <w:rsid w:val="0021380A"/>
    <w:rsid w:val="00217822"/>
    <w:rsid w:val="00242941"/>
    <w:rsid w:val="00253B1B"/>
    <w:rsid w:val="002643E7"/>
    <w:rsid w:val="00264A09"/>
    <w:rsid w:val="0027303F"/>
    <w:rsid w:val="00273B3A"/>
    <w:rsid w:val="00276D86"/>
    <w:rsid w:val="00276E22"/>
    <w:rsid w:val="002821C3"/>
    <w:rsid w:val="00286C34"/>
    <w:rsid w:val="002935DB"/>
    <w:rsid w:val="002950E1"/>
    <w:rsid w:val="00295CC7"/>
    <w:rsid w:val="002A1A77"/>
    <w:rsid w:val="002A6165"/>
    <w:rsid w:val="002A69FD"/>
    <w:rsid w:val="002B0B11"/>
    <w:rsid w:val="002C7CC7"/>
    <w:rsid w:val="002D644E"/>
    <w:rsid w:val="002D6D16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864D0"/>
    <w:rsid w:val="003A6919"/>
    <w:rsid w:val="003C2C07"/>
    <w:rsid w:val="003C5F06"/>
    <w:rsid w:val="003C6392"/>
    <w:rsid w:val="003C69FA"/>
    <w:rsid w:val="003C6BA6"/>
    <w:rsid w:val="003D37F2"/>
    <w:rsid w:val="003E3350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5B9F"/>
    <w:rsid w:val="004669C0"/>
    <w:rsid w:val="00474807"/>
    <w:rsid w:val="00475B2E"/>
    <w:rsid w:val="004806D6"/>
    <w:rsid w:val="00481CBF"/>
    <w:rsid w:val="00490A0D"/>
    <w:rsid w:val="00490ABB"/>
    <w:rsid w:val="00492DD9"/>
    <w:rsid w:val="00497476"/>
    <w:rsid w:val="00497D50"/>
    <w:rsid w:val="004A0741"/>
    <w:rsid w:val="004A0D40"/>
    <w:rsid w:val="004B4FF9"/>
    <w:rsid w:val="004C0BF7"/>
    <w:rsid w:val="004C59E3"/>
    <w:rsid w:val="004D76A2"/>
    <w:rsid w:val="004E6DC0"/>
    <w:rsid w:val="004F042B"/>
    <w:rsid w:val="004F0F5C"/>
    <w:rsid w:val="004F4650"/>
    <w:rsid w:val="0050074E"/>
    <w:rsid w:val="0050441A"/>
    <w:rsid w:val="005131AB"/>
    <w:rsid w:val="0051481D"/>
    <w:rsid w:val="00516754"/>
    <w:rsid w:val="00521642"/>
    <w:rsid w:val="0052398E"/>
    <w:rsid w:val="00527CBD"/>
    <w:rsid w:val="005319AE"/>
    <w:rsid w:val="00534087"/>
    <w:rsid w:val="005377A3"/>
    <w:rsid w:val="00537A82"/>
    <w:rsid w:val="005409F1"/>
    <w:rsid w:val="005427CD"/>
    <w:rsid w:val="00545866"/>
    <w:rsid w:val="005476DB"/>
    <w:rsid w:val="00552AA7"/>
    <w:rsid w:val="005573FD"/>
    <w:rsid w:val="00565C88"/>
    <w:rsid w:val="00576299"/>
    <w:rsid w:val="00580D4A"/>
    <w:rsid w:val="005A1096"/>
    <w:rsid w:val="005A1295"/>
    <w:rsid w:val="005B3E4C"/>
    <w:rsid w:val="005B7176"/>
    <w:rsid w:val="005C2BC8"/>
    <w:rsid w:val="005C4D68"/>
    <w:rsid w:val="005C5104"/>
    <w:rsid w:val="005E387E"/>
    <w:rsid w:val="005E7787"/>
    <w:rsid w:val="005F5154"/>
    <w:rsid w:val="00600B02"/>
    <w:rsid w:val="00623E1A"/>
    <w:rsid w:val="006369D3"/>
    <w:rsid w:val="00643A99"/>
    <w:rsid w:val="0064744E"/>
    <w:rsid w:val="00655428"/>
    <w:rsid w:val="00656AB1"/>
    <w:rsid w:val="0066590E"/>
    <w:rsid w:val="00666B30"/>
    <w:rsid w:val="006828D9"/>
    <w:rsid w:val="00694D9B"/>
    <w:rsid w:val="006A0748"/>
    <w:rsid w:val="006A5B18"/>
    <w:rsid w:val="006A6B65"/>
    <w:rsid w:val="006B09B4"/>
    <w:rsid w:val="006B21DA"/>
    <w:rsid w:val="006D2055"/>
    <w:rsid w:val="006D3182"/>
    <w:rsid w:val="006E731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53BD2"/>
    <w:rsid w:val="00763E80"/>
    <w:rsid w:val="00765EB6"/>
    <w:rsid w:val="00770260"/>
    <w:rsid w:val="0077205B"/>
    <w:rsid w:val="007736F1"/>
    <w:rsid w:val="00775ECE"/>
    <w:rsid w:val="00782259"/>
    <w:rsid w:val="00784B0F"/>
    <w:rsid w:val="00787D6E"/>
    <w:rsid w:val="00797CEF"/>
    <w:rsid w:val="007A21B7"/>
    <w:rsid w:val="007A27CA"/>
    <w:rsid w:val="007A6BE4"/>
    <w:rsid w:val="007B5E58"/>
    <w:rsid w:val="007C4D8D"/>
    <w:rsid w:val="007C7385"/>
    <w:rsid w:val="007D3C03"/>
    <w:rsid w:val="007E323B"/>
    <w:rsid w:val="007E6905"/>
    <w:rsid w:val="008012BD"/>
    <w:rsid w:val="00801E26"/>
    <w:rsid w:val="00804B96"/>
    <w:rsid w:val="0081100B"/>
    <w:rsid w:val="00833274"/>
    <w:rsid w:val="008333FD"/>
    <w:rsid w:val="00843333"/>
    <w:rsid w:val="00857EBB"/>
    <w:rsid w:val="008862AA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E0414"/>
    <w:rsid w:val="008F411B"/>
    <w:rsid w:val="008F5EFB"/>
    <w:rsid w:val="00901E8D"/>
    <w:rsid w:val="009025B6"/>
    <w:rsid w:val="0090629F"/>
    <w:rsid w:val="009077AF"/>
    <w:rsid w:val="00910720"/>
    <w:rsid w:val="00917F0F"/>
    <w:rsid w:val="00927F28"/>
    <w:rsid w:val="00945BA0"/>
    <w:rsid w:val="0094731B"/>
    <w:rsid w:val="0095055D"/>
    <w:rsid w:val="00973F85"/>
    <w:rsid w:val="00974B91"/>
    <w:rsid w:val="00976556"/>
    <w:rsid w:val="0098380F"/>
    <w:rsid w:val="00984D92"/>
    <w:rsid w:val="00984D95"/>
    <w:rsid w:val="00986E83"/>
    <w:rsid w:val="009975DB"/>
    <w:rsid w:val="009A5D39"/>
    <w:rsid w:val="009B1D17"/>
    <w:rsid w:val="009B3220"/>
    <w:rsid w:val="009C7AF4"/>
    <w:rsid w:val="009D5008"/>
    <w:rsid w:val="009F1475"/>
    <w:rsid w:val="00A03CF9"/>
    <w:rsid w:val="00A06F33"/>
    <w:rsid w:val="00A100D5"/>
    <w:rsid w:val="00A30159"/>
    <w:rsid w:val="00A34710"/>
    <w:rsid w:val="00A46397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29E9"/>
    <w:rsid w:val="00A9664A"/>
    <w:rsid w:val="00AA18A2"/>
    <w:rsid w:val="00AA5544"/>
    <w:rsid w:val="00AA5769"/>
    <w:rsid w:val="00AB1A0C"/>
    <w:rsid w:val="00AB564C"/>
    <w:rsid w:val="00AB7522"/>
    <w:rsid w:val="00AD0D5A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16DA0"/>
    <w:rsid w:val="00B35145"/>
    <w:rsid w:val="00B3769D"/>
    <w:rsid w:val="00B50EC7"/>
    <w:rsid w:val="00B75E0F"/>
    <w:rsid w:val="00B77896"/>
    <w:rsid w:val="00B82C01"/>
    <w:rsid w:val="00B90C41"/>
    <w:rsid w:val="00B90E85"/>
    <w:rsid w:val="00B92153"/>
    <w:rsid w:val="00BB2959"/>
    <w:rsid w:val="00BB61EB"/>
    <w:rsid w:val="00BB6B90"/>
    <w:rsid w:val="00BC0AA4"/>
    <w:rsid w:val="00BC2E33"/>
    <w:rsid w:val="00BD08A0"/>
    <w:rsid w:val="00BD1C72"/>
    <w:rsid w:val="00BD36A8"/>
    <w:rsid w:val="00BD5EC9"/>
    <w:rsid w:val="00C06C4D"/>
    <w:rsid w:val="00C137B9"/>
    <w:rsid w:val="00C138C6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20057"/>
    <w:rsid w:val="00D27811"/>
    <w:rsid w:val="00D41067"/>
    <w:rsid w:val="00D44EF8"/>
    <w:rsid w:val="00D5594D"/>
    <w:rsid w:val="00D65D77"/>
    <w:rsid w:val="00D82C1C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DF3D65"/>
    <w:rsid w:val="00E00CB3"/>
    <w:rsid w:val="00E3348E"/>
    <w:rsid w:val="00E34CF3"/>
    <w:rsid w:val="00E35F7C"/>
    <w:rsid w:val="00E36A48"/>
    <w:rsid w:val="00E40687"/>
    <w:rsid w:val="00E426BA"/>
    <w:rsid w:val="00E427BE"/>
    <w:rsid w:val="00E42E29"/>
    <w:rsid w:val="00E439B0"/>
    <w:rsid w:val="00E52A5A"/>
    <w:rsid w:val="00E543B5"/>
    <w:rsid w:val="00E6716B"/>
    <w:rsid w:val="00E7463C"/>
    <w:rsid w:val="00E76FAF"/>
    <w:rsid w:val="00E94C4A"/>
    <w:rsid w:val="00EA089F"/>
    <w:rsid w:val="00EA790C"/>
    <w:rsid w:val="00EB1C45"/>
    <w:rsid w:val="00EB504E"/>
    <w:rsid w:val="00ED4CA1"/>
    <w:rsid w:val="00EE06D1"/>
    <w:rsid w:val="00EE3696"/>
    <w:rsid w:val="00EF4F15"/>
    <w:rsid w:val="00F00E85"/>
    <w:rsid w:val="00F07D00"/>
    <w:rsid w:val="00F15548"/>
    <w:rsid w:val="00F15E20"/>
    <w:rsid w:val="00F16583"/>
    <w:rsid w:val="00F27617"/>
    <w:rsid w:val="00F33E72"/>
    <w:rsid w:val="00F350F2"/>
    <w:rsid w:val="00F420E5"/>
    <w:rsid w:val="00F5173E"/>
    <w:rsid w:val="00F5217E"/>
    <w:rsid w:val="00F53911"/>
    <w:rsid w:val="00F53B4F"/>
    <w:rsid w:val="00F659A5"/>
    <w:rsid w:val="00F7126F"/>
    <w:rsid w:val="00F819C7"/>
    <w:rsid w:val="00F85129"/>
    <w:rsid w:val="00FA044C"/>
    <w:rsid w:val="00FA3065"/>
    <w:rsid w:val="00FB25E6"/>
    <w:rsid w:val="00FC1034"/>
    <w:rsid w:val="00FC797B"/>
    <w:rsid w:val="00FD5FF3"/>
    <w:rsid w:val="00FD79C6"/>
    <w:rsid w:val="00FE1FAF"/>
    <w:rsid w:val="00FE7555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85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BF63-1C17-49B9-AEB0-81CBDC85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2019-02-15T06:32:00Z</dcterms:created>
  <dcterms:modified xsi:type="dcterms:W3CDTF">2019-02-15T10:55:00Z</dcterms:modified>
  <dc:language/>
</cp:coreProperties>
</file>