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3FDC" w:rsidRDefault="00A43FDC" w:rsidP="00A43FDC">
      <w:pPr>
        <w:tabs>
          <w:tab w:val="left" w:pos="142"/>
        </w:tabs>
        <w:jc w:val="center"/>
        <w:rPr>
          <w:rFonts w:ascii="Helvetica" w:hAnsi="Helvetica"/>
          <w:b/>
          <w:color w:val="FF6600"/>
          <w:sz w:val="32"/>
          <w:lang w:val="sv-SE"/>
        </w:rPr>
      </w:pPr>
    </w:p>
    <w:p w:rsidR="00A43FDC" w:rsidRPr="00A43FDC" w:rsidRDefault="00A43FDC" w:rsidP="00A43FDC">
      <w:pPr>
        <w:tabs>
          <w:tab w:val="left" w:pos="142"/>
        </w:tabs>
        <w:jc w:val="center"/>
        <w:rPr>
          <w:rFonts w:ascii="Helvetica" w:hAnsi="Helvetica"/>
          <w:b/>
          <w:color w:val="FF6600"/>
          <w:sz w:val="32"/>
          <w:lang w:val="sv-SE"/>
        </w:rPr>
      </w:pPr>
      <w:r w:rsidRPr="00A43FDC">
        <w:rPr>
          <w:rFonts w:ascii="Helvetica" w:hAnsi="Helvetica"/>
          <w:b/>
          <w:color w:val="FF6600"/>
          <w:sz w:val="32"/>
          <w:lang w:val="sv-SE"/>
        </w:rPr>
        <w:t>Hankook Tire julkisti maailmanlaajuiset taloudelliset tuloksensa tilivuodelta 2018</w:t>
      </w:r>
    </w:p>
    <w:p w:rsidR="00A43FDC" w:rsidRPr="00A43FDC" w:rsidRDefault="00A43FDC" w:rsidP="00A43FDC">
      <w:pPr>
        <w:tabs>
          <w:tab w:val="left" w:pos="142"/>
        </w:tabs>
        <w:jc w:val="center"/>
        <w:rPr>
          <w:rFonts w:ascii="Helvetica" w:hAnsi="Helvetica"/>
          <w:b/>
          <w:color w:val="FF6600"/>
          <w:sz w:val="32"/>
          <w:lang w:val="sv-SE"/>
        </w:rPr>
      </w:pPr>
    </w:p>
    <w:p w:rsidR="00A43FDC" w:rsidRPr="00A43FDC" w:rsidRDefault="00A43FDC" w:rsidP="001C758F">
      <w:pPr>
        <w:tabs>
          <w:tab w:val="left" w:pos="142"/>
        </w:tabs>
        <w:spacing w:line="276" w:lineRule="auto"/>
        <w:jc w:val="left"/>
        <w:rPr>
          <w:rFonts w:eastAsia="Batang"/>
          <w:b/>
          <w:snapToGrid w:val="0"/>
          <w:color w:val="auto"/>
          <w:kern w:val="2"/>
          <w:sz w:val="22"/>
          <w:szCs w:val="24"/>
          <w:lang w:val="sv-SE"/>
        </w:rPr>
      </w:pPr>
      <w:r w:rsidRPr="00A43FDC">
        <w:rPr>
          <w:rFonts w:eastAsia="Batang"/>
          <w:b/>
          <w:iCs/>
          <w:color w:val="000000"/>
          <w:sz w:val="22"/>
          <w:szCs w:val="22"/>
          <w:lang w:val="sv-SE" w:eastAsia="ko-KR" w:bidi="ar-SA"/>
        </w:rPr>
        <w:t xml:space="preserve">Tilivuonna 2018 rengasvalmistaja Hankook saavutti 6790 miljardin KRW liikevaihdon ja 703,7 miljardin KRW operatiivisen tuloksen. Tähän vaikutti etenkin yli </w:t>
      </w:r>
      <w:r w:rsidRPr="00A43FDC">
        <w:rPr>
          <w:rFonts w:eastAsia="Batang"/>
          <w:b/>
          <w:snapToGrid w:val="0"/>
          <w:color w:val="auto"/>
          <w:kern w:val="2"/>
          <w:sz w:val="22"/>
          <w:szCs w:val="24"/>
          <w:lang w:val="sv-SE"/>
        </w:rPr>
        <w:t>17 tuumaisten renkaiden myynnin kasvu keskeisillä markkinoilla kuten Euroopassa ja Yhdysvalloissa.</w:t>
      </w:r>
    </w:p>
    <w:p w:rsidR="00A43FDC" w:rsidRPr="00A43FDC" w:rsidRDefault="00A43FDC" w:rsidP="001C758F">
      <w:pPr>
        <w:widowControl/>
        <w:suppressAutoHyphens w:val="0"/>
        <w:snapToGrid w:val="0"/>
        <w:spacing w:line="276" w:lineRule="auto"/>
        <w:ind w:right="-30"/>
        <w:rPr>
          <w:rFonts w:eastAsia="Batang"/>
          <w:b/>
          <w:iCs/>
          <w:color w:val="000000"/>
          <w:sz w:val="22"/>
          <w:szCs w:val="22"/>
          <w:lang w:val="sv-SE" w:eastAsia="ko-KR" w:bidi="ar-SA"/>
        </w:rPr>
      </w:pPr>
      <w:r w:rsidRPr="00A43FDC">
        <w:rPr>
          <w:rFonts w:eastAsia="Batang"/>
          <w:b/>
          <w:iCs/>
          <w:color w:val="000000"/>
          <w:sz w:val="22"/>
          <w:szCs w:val="22"/>
          <w:lang w:val="sv-SE" w:eastAsia="ko-KR" w:bidi="ar-SA"/>
        </w:rPr>
        <w:t xml:space="preserve"> </w:t>
      </w:r>
    </w:p>
    <w:p w:rsidR="00A43FDC" w:rsidRPr="00A43FDC" w:rsidRDefault="00A43FDC" w:rsidP="001C758F">
      <w:pPr>
        <w:spacing w:line="276" w:lineRule="auto"/>
        <w:rPr>
          <w:rFonts w:eastAsia="Batang"/>
          <w:iCs/>
          <w:color w:val="000000"/>
          <w:sz w:val="21"/>
          <w:szCs w:val="21"/>
          <w:lang w:val="sv-SE" w:eastAsia="ko-KR" w:bidi="ar-SA"/>
        </w:rPr>
      </w:pPr>
      <w:r w:rsidRPr="00A43FDC">
        <w:rPr>
          <w:rFonts w:eastAsia="Malgun Gothic"/>
          <w:b/>
          <w:i/>
          <w:color w:val="auto"/>
          <w:sz w:val="21"/>
          <w:szCs w:val="21"/>
          <w:lang w:val="sv-SE" w:eastAsia="ko-KR" w:bidi="ar-SA"/>
        </w:rPr>
        <w:t>Soul, Korea / Neu-Isenburg, Saksa, 1</w:t>
      </w:r>
      <w:r w:rsidR="001C758F">
        <w:rPr>
          <w:rFonts w:eastAsia="Malgun Gothic"/>
          <w:b/>
          <w:i/>
          <w:color w:val="auto"/>
          <w:sz w:val="21"/>
          <w:szCs w:val="21"/>
          <w:lang w:val="sv-SE" w:eastAsia="ko-KR" w:bidi="ar-SA"/>
        </w:rPr>
        <w:t>5</w:t>
      </w:r>
      <w:r w:rsidRPr="00A43FDC">
        <w:rPr>
          <w:rFonts w:eastAsia="Malgun Gothic"/>
          <w:b/>
          <w:i/>
          <w:color w:val="auto"/>
          <w:sz w:val="21"/>
          <w:szCs w:val="21"/>
          <w:lang w:val="sv-SE" w:eastAsia="ko-KR" w:bidi="ar-SA"/>
        </w:rPr>
        <w:t>. helmikuuta 2019</w:t>
      </w:r>
      <w:r w:rsidRPr="00A43FDC">
        <w:rPr>
          <w:rFonts w:eastAsia="Malgun Gothic"/>
          <w:color w:val="auto"/>
          <w:sz w:val="21"/>
          <w:szCs w:val="21"/>
          <w:lang w:val="sv-SE" w:eastAsia="ko-KR" w:bidi="ar-SA"/>
        </w:rPr>
        <w:t xml:space="preserve"> </w:t>
      </w:r>
      <w:r w:rsidRPr="00A43FDC">
        <w:rPr>
          <w:rFonts w:eastAsia="Batang"/>
          <w:iCs/>
          <w:color w:val="000000"/>
          <w:sz w:val="21"/>
          <w:szCs w:val="21"/>
          <w:lang w:val="sv-SE" w:eastAsia="ko-KR" w:bidi="ar-SA"/>
        </w:rPr>
        <w:t>–  Premium-rengasvalmistaja Hankook julkisti tilivuoden 2018 taloudelliset tuloksensa. Yritys saavutti tällä tilikaudella maailmanlaajuisen liikevaihdon 6790 miljardia KRW (vastaa noin 5,23 mrd. euroa) ja operatiivisen tuloksen 703,7 miljardia KRW (vastaa noin 541,9 milj. euroa).</w:t>
      </w:r>
    </w:p>
    <w:p w:rsidR="00A43FDC" w:rsidRPr="00A43FDC" w:rsidRDefault="00A43FDC" w:rsidP="001C758F">
      <w:pPr>
        <w:spacing w:line="276" w:lineRule="auto"/>
        <w:rPr>
          <w:rFonts w:eastAsia="Batang"/>
          <w:iCs/>
          <w:color w:val="000000"/>
          <w:sz w:val="21"/>
          <w:szCs w:val="21"/>
          <w:lang w:val="sv-SE" w:eastAsia="ko-KR" w:bidi="ar-SA"/>
        </w:rPr>
      </w:pPr>
    </w:p>
    <w:p w:rsidR="00A43FDC" w:rsidRPr="00A43FDC" w:rsidRDefault="00A43FDC" w:rsidP="001C758F">
      <w:pPr>
        <w:spacing w:line="276" w:lineRule="auto"/>
        <w:rPr>
          <w:rFonts w:eastAsia="Batang"/>
          <w:iCs/>
          <w:color w:val="000000"/>
          <w:sz w:val="21"/>
          <w:szCs w:val="21"/>
          <w:lang w:val="sv-SE" w:eastAsia="ko-KR" w:bidi="ar-SA"/>
        </w:rPr>
      </w:pPr>
      <w:r w:rsidRPr="00A43FDC">
        <w:rPr>
          <w:rFonts w:eastAsia="Batang"/>
          <w:iCs/>
          <w:color w:val="000000"/>
          <w:sz w:val="21"/>
          <w:szCs w:val="21"/>
          <w:lang w:val="sv-SE" w:eastAsia="ko-KR" w:bidi="ar-SA"/>
        </w:rPr>
        <w:t>Hankook Tiren maailmanlaajuisesti huipputasoa edustavan teknologian ja ensiluokkaisen tuotelaadun ansiosta myynti Euroopassa ja USA:ssa kasvoi edelliseen vuoteen verrattuna 3,9 prosenttia henkilöautojen ja SUV-autojen 18-tuumaisten ja sitä suurempien vannekokojen renkaiden osalta. Se muodosti 52,3 prosentin osuuden kaikesta henkilöautojen renkaiden myynnistä.</w:t>
      </w:r>
    </w:p>
    <w:p w:rsidR="00A43FDC" w:rsidRPr="00A43FDC" w:rsidRDefault="00A43FDC" w:rsidP="001C758F">
      <w:pPr>
        <w:spacing w:line="276" w:lineRule="auto"/>
        <w:rPr>
          <w:rFonts w:eastAsia="Batang"/>
          <w:iCs/>
          <w:color w:val="000000"/>
          <w:sz w:val="21"/>
          <w:szCs w:val="21"/>
          <w:lang w:val="sv-SE" w:eastAsia="ko-KR" w:bidi="ar-SA"/>
        </w:rPr>
      </w:pPr>
    </w:p>
    <w:p w:rsidR="00A43FDC" w:rsidRPr="00A43FDC" w:rsidRDefault="00A43FDC" w:rsidP="001C758F">
      <w:pPr>
        <w:spacing w:line="276" w:lineRule="auto"/>
        <w:rPr>
          <w:bCs/>
          <w:sz w:val="21"/>
          <w:szCs w:val="21"/>
          <w:lang w:val="sv-SE"/>
        </w:rPr>
      </w:pPr>
      <w:r w:rsidRPr="00A43FDC">
        <w:rPr>
          <w:bCs/>
          <w:sz w:val="21"/>
          <w:szCs w:val="21"/>
          <w:lang w:val="sv-SE"/>
        </w:rPr>
        <w:t>Jakelukanavien optimointi Korean markkinoilla lisäsi vaihtorenkaiden myyntiä erityisesti neljännellä vuosineljänneksellä ja kasvatti suurten tuumalukujen renkaiden liikevaihto-osuutta. Myös ensiasennusrenkaiden toimitukset SUV-autoihin ja Amerikassa ostettuihin japanilaisiin autoihin kasvoivat tasaisesti.</w:t>
      </w:r>
    </w:p>
    <w:p w:rsidR="00A43FDC" w:rsidRPr="00A43FDC" w:rsidRDefault="00A43FDC" w:rsidP="001C758F">
      <w:pPr>
        <w:spacing w:line="276" w:lineRule="auto"/>
        <w:rPr>
          <w:bCs/>
          <w:sz w:val="21"/>
          <w:szCs w:val="21"/>
          <w:lang w:val="sv-SE"/>
        </w:rPr>
      </w:pPr>
    </w:p>
    <w:p w:rsidR="00A43FDC" w:rsidRPr="001C758F" w:rsidRDefault="00A43FDC" w:rsidP="001C758F">
      <w:pPr>
        <w:spacing w:line="276" w:lineRule="auto"/>
        <w:rPr>
          <w:bCs/>
          <w:sz w:val="21"/>
          <w:szCs w:val="21"/>
          <w:lang w:val="sv-SE"/>
        </w:rPr>
      </w:pPr>
      <w:r w:rsidRPr="001C758F">
        <w:rPr>
          <w:bCs/>
          <w:sz w:val="21"/>
          <w:szCs w:val="21"/>
          <w:lang w:val="sv-SE"/>
        </w:rPr>
        <w:t xml:space="preserve">Kokonaiskysynnän väheneminen Kiinan markkinoilla johti vaihto- ja ensiasennusrenkaiden myynnin laskuun Kiinassa, mikä vaikutti kielteisesti kokonaistulokseen. </w:t>
      </w:r>
    </w:p>
    <w:p w:rsidR="00A43FDC" w:rsidRPr="001C758F" w:rsidRDefault="00A43FDC" w:rsidP="001C758F">
      <w:pPr>
        <w:spacing w:line="276" w:lineRule="auto"/>
        <w:rPr>
          <w:bCs/>
          <w:sz w:val="21"/>
          <w:szCs w:val="21"/>
          <w:lang w:val="sv-SE"/>
        </w:rPr>
      </w:pPr>
    </w:p>
    <w:p w:rsidR="00A43FDC" w:rsidRPr="00A43FDC" w:rsidRDefault="00A43FDC" w:rsidP="001C758F">
      <w:pPr>
        <w:spacing w:line="276" w:lineRule="auto"/>
        <w:rPr>
          <w:bCs/>
          <w:sz w:val="21"/>
          <w:szCs w:val="21"/>
          <w:lang w:val="sv-SE"/>
        </w:rPr>
      </w:pPr>
      <w:r w:rsidRPr="00A43FDC">
        <w:rPr>
          <w:bCs/>
          <w:sz w:val="21"/>
          <w:szCs w:val="21"/>
          <w:lang w:val="sv-SE"/>
        </w:rPr>
        <w:t>Toimintavuodelle 2019 Hankook on asettanut tavoitteeksi 7400 miljardin KRW liikevaihdon ja 750 miljardin KRW operatiivisen tuloksen. Sitä varten rengasvalmistaja keskittyy vahvistamaan asemaansa premium-tuotemerkkinä, ennen kaikkea laajentamalla 18 tuuman ja suurempien vannekokojen renkaiden myyntiä, ensiasennusrenkaiden vakaalla myynnillä premium-autonvalmistajille ja yrityksen premium-tuotevalikoimien kilpailukyvyn kohottamisella. Lisäksi Hankook suunnittelee ensiasennusmallistonsa laajentamista vakaan liikevaihtorakenteen saavuttamiseksi. Alueellisia jakelustrategioita tullaan optimoimaan.</w:t>
      </w:r>
    </w:p>
    <w:p w:rsidR="00A43FDC" w:rsidRPr="00A43FDC" w:rsidRDefault="00A43FDC" w:rsidP="001C758F">
      <w:pPr>
        <w:spacing w:line="276" w:lineRule="auto"/>
        <w:rPr>
          <w:bCs/>
          <w:sz w:val="21"/>
          <w:szCs w:val="21"/>
          <w:lang w:val="sv-SE"/>
        </w:rPr>
      </w:pPr>
    </w:p>
    <w:p w:rsidR="00A43FDC" w:rsidRPr="001C758F" w:rsidRDefault="00A43FDC" w:rsidP="001C758F">
      <w:pPr>
        <w:spacing w:line="276" w:lineRule="auto"/>
        <w:rPr>
          <w:bCs/>
          <w:sz w:val="21"/>
          <w:szCs w:val="21"/>
          <w:lang w:val="sv-SE"/>
        </w:rPr>
      </w:pPr>
      <w:r w:rsidRPr="001C758F">
        <w:rPr>
          <w:bCs/>
          <w:sz w:val="21"/>
          <w:szCs w:val="21"/>
          <w:lang w:val="sv-SE"/>
        </w:rPr>
        <w:t>Voidakseen tehostaa yhteistyötään nopeasti muuttuvan teollisuuden kanssa yritys pyrkii edelleen vahvistamaan kehittyvää ja joustavaa yrityskulttuuria ja luomaan työntekijöiden työympäristöjen innovatiivisella kehittämisellä aktiivisen ja aloitteellisen yrityskulttuurin vauhdittaakseen siten etenemistään alan globaalien yritysten kärkeen.</w:t>
      </w:r>
    </w:p>
    <w:p w:rsidR="00A43FDC" w:rsidRPr="001C758F" w:rsidRDefault="00A43FDC" w:rsidP="001C758F">
      <w:pPr>
        <w:spacing w:line="276" w:lineRule="auto"/>
        <w:rPr>
          <w:bCs/>
          <w:sz w:val="21"/>
          <w:szCs w:val="21"/>
          <w:lang w:val="sv-SE"/>
        </w:rPr>
      </w:pPr>
    </w:p>
    <w:p w:rsidR="00A43FDC" w:rsidRPr="001C758F" w:rsidRDefault="001C758F" w:rsidP="001C758F">
      <w:pPr>
        <w:spacing w:line="276" w:lineRule="auto"/>
        <w:jc w:val="center"/>
        <w:rPr>
          <w:bCs/>
          <w:sz w:val="21"/>
          <w:szCs w:val="21"/>
          <w:lang w:val="sv-SE"/>
        </w:rPr>
      </w:pPr>
      <w:r>
        <w:rPr>
          <w:bCs/>
          <w:sz w:val="21"/>
          <w:szCs w:val="21"/>
          <w:lang w:val="sv-SE"/>
        </w:rPr>
        <w:t>###</w:t>
      </w:r>
    </w:p>
    <w:p w:rsidR="00A43FDC" w:rsidRPr="001C758F" w:rsidRDefault="00A43FDC" w:rsidP="001C758F">
      <w:pPr>
        <w:spacing w:line="276" w:lineRule="auto"/>
        <w:rPr>
          <w:bCs/>
          <w:sz w:val="21"/>
          <w:szCs w:val="21"/>
          <w:lang w:val="sv-SE"/>
        </w:rPr>
      </w:pPr>
    </w:p>
    <w:p w:rsidR="001C758F" w:rsidRDefault="001C758F">
      <w:pPr>
        <w:widowControl/>
        <w:suppressAutoHyphens w:val="0"/>
        <w:jc w:val="left"/>
        <w:rPr>
          <w:bCs/>
          <w:sz w:val="21"/>
          <w:szCs w:val="21"/>
          <w:lang w:val="sv-SE"/>
        </w:rPr>
      </w:pPr>
      <w:r>
        <w:rPr>
          <w:bCs/>
          <w:sz w:val="21"/>
          <w:szCs w:val="21"/>
          <w:lang w:val="sv-SE"/>
        </w:rPr>
        <w:br w:type="page"/>
      </w:r>
    </w:p>
    <w:p w:rsidR="00A43FDC" w:rsidRDefault="00A43FDC" w:rsidP="00A43FDC">
      <w:pPr>
        <w:widowControl/>
        <w:jc w:val="left"/>
        <w:rPr>
          <w:b/>
          <w:sz w:val="22"/>
          <w:szCs w:val="22"/>
          <w:lang w:val="fi-FI"/>
        </w:rPr>
      </w:pPr>
      <w:bookmarkStart w:id="0" w:name="_GoBack"/>
      <w:bookmarkEnd w:id="0"/>
    </w:p>
    <w:p w:rsidR="00A43FDC" w:rsidRDefault="00A43FDC" w:rsidP="00A43FDC">
      <w:pPr>
        <w:widowControl/>
        <w:jc w:val="left"/>
        <w:rPr>
          <w:b/>
          <w:sz w:val="22"/>
          <w:szCs w:val="22"/>
          <w:lang w:val="fi-FI"/>
        </w:rPr>
      </w:pPr>
      <w:r w:rsidRPr="00A43FDC">
        <w:rPr>
          <w:b/>
          <w:sz w:val="22"/>
          <w:szCs w:val="22"/>
          <w:lang w:val="fi-FI"/>
        </w:rPr>
        <w:t>Q4 2018 Consolidated Financial Result</w:t>
      </w:r>
    </w:p>
    <w:tbl>
      <w:tblPr>
        <w:tblStyle w:val="TableGrid1"/>
        <w:tblW w:w="10348" w:type="dxa"/>
        <w:tblInd w:w="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552"/>
        <w:gridCol w:w="2598"/>
        <w:gridCol w:w="2599"/>
        <w:gridCol w:w="2599"/>
      </w:tblGrid>
      <w:tr w:rsidR="00A43FDC" w:rsidRPr="00A43FDC" w:rsidTr="00A43FDC">
        <w:trPr>
          <w:trHeight w:val="342"/>
        </w:trPr>
        <w:tc>
          <w:tcPr>
            <w:tcW w:w="2552"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(Unit: Billion KRW)</w:t>
            </w:r>
          </w:p>
        </w:tc>
        <w:tc>
          <w:tcPr>
            <w:tcW w:w="2598"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Q4 FY 2017</w:t>
            </w:r>
          </w:p>
        </w:tc>
        <w:tc>
          <w:tcPr>
            <w:tcW w:w="2599"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Q3 FY 2018</w:t>
            </w:r>
          </w:p>
        </w:tc>
        <w:tc>
          <w:tcPr>
            <w:tcW w:w="2599"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Q4 FY 2018</w:t>
            </w:r>
          </w:p>
        </w:tc>
      </w:tr>
      <w:tr w:rsidR="00A43FDC" w:rsidRPr="00A43FDC" w:rsidTr="00A43FDC">
        <w:trPr>
          <w:trHeight w:val="342"/>
        </w:trPr>
        <w:tc>
          <w:tcPr>
            <w:tcW w:w="2552" w:type="dxa"/>
            <w:tcBorders>
              <w:top w:val="double" w:sz="4" w:space="0" w:color="auto"/>
              <w:left w:val="nil"/>
              <w:bottom w:val="single" w:sz="4" w:space="0" w:color="auto"/>
              <w:right w:val="double" w:sz="4" w:space="0" w:color="auto"/>
            </w:tcBorders>
            <w:vAlign w:val="center"/>
            <w:hideMark/>
          </w:tcPr>
          <w:p w:rsidR="00A43FDC" w:rsidRPr="00A43FDC" w:rsidRDefault="00A43FDC" w:rsidP="00A43FDC">
            <w:pPr>
              <w:snapToGrid w:val="0"/>
              <w:ind w:rightChars="56" w:right="112"/>
              <w:jc w:val="center"/>
              <w:rPr>
                <w:b/>
                <w:color w:val="000000" w:themeColor="text1"/>
                <w:lang w:val="fi-FI"/>
              </w:rPr>
            </w:pPr>
            <w:r w:rsidRPr="00A43FDC">
              <w:rPr>
                <w:b/>
                <w:color w:val="000000" w:themeColor="text1"/>
                <w:lang w:val="fi-FI"/>
              </w:rPr>
              <w:t>Sales</w:t>
            </w:r>
          </w:p>
        </w:tc>
        <w:tc>
          <w:tcPr>
            <w:tcW w:w="2598" w:type="dxa"/>
            <w:tcBorders>
              <w:top w:val="double" w:sz="4" w:space="0" w:color="auto"/>
              <w:left w:val="sing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bCs/>
                <w:color w:val="000000"/>
                <w:lang w:val="fi-FI"/>
              </w:rPr>
              <w:t>1,682.30</w:t>
            </w:r>
          </w:p>
        </w:tc>
        <w:tc>
          <w:tcPr>
            <w:tcW w:w="2599" w:type="dxa"/>
            <w:tcBorders>
              <w:top w:val="double" w:sz="4" w:space="0" w:color="auto"/>
              <w:left w:val="sing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bCs/>
                <w:color w:val="000000"/>
                <w:lang w:val="fi-FI"/>
              </w:rPr>
              <w:t>1,755.40</w:t>
            </w:r>
          </w:p>
        </w:tc>
        <w:tc>
          <w:tcPr>
            <w:tcW w:w="2599" w:type="dxa"/>
            <w:tcBorders>
              <w:top w:val="double" w:sz="4" w:space="0" w:color="auto"/>
              <w:left w:val="double" w:sz="4" w:space="0" w:color="auto"/>
              <w:bottom w:val="single" w:sz="4" w:space="0" w:color="auto"/>
              <w:right w:val="nil"/>
            </w:tcBorders>
            <w:vAlign w:val="center"/>
            <w:hideMark/>
          </w:tcPr>
          <w:p w:rsidR="00A43FDC" w:rsidRPr="00A43FDC" w:rsidRDefault="00A43FDC" w:rsidP="00A43FDC">
            <w:pPr>
              <w:jc w:val="center"/>
              <w:rPr>
                <w:b/>
                <w:lang w:val="fi-FI"/>
              </w:rPr>
            </w:pPr>
            <w:r w:rsidRPr="00A43FDC">
              <w:rPr>
                <w:b/>
                <w:bCs/>
                <w:color w:val="000000"/>
                <w:lang w:val="fi-FI"/>
              </w:rPr>
              <w:t>1,725.60</w:t>
            </w:r>
          </w:p>
        </w:tc>
      </w:tr>
      <w:tr w:rsidR="00A43FDC" w:rsidRPr="00A43FDC" w:rsidTr="00A43FDC">
        <w:trPr>
          <w:trHeight w:val="342"/>
        </w:trPr>
        <w:tc>
          <w:tcPr>
            <w:tcW w:w="2552" w:type="dxa"/>
            <w:tcBorders>
              <w:top w:val="single" w:sz="4" w:space="0" w:color="auto"/>
              <w:left w:val="nil"/>
              <w:bottom w:val="single" w:sz="4" w:space="0" w:color="auto"/>
              <w:right w:val="double" w:sz="4" w:space="0" w:color="auto"/>
            </w:tcBorders>
            <w:vAlign w:val="center"/>
            <w:hideMark/>
          </w:tcPr>
          <w:p w:rsidR="00A43FDC" w:rsidRPr="00A43FDC" w:rsidRDefault="00A43FDC" w:rsidP="00A43FDC">
            <w:pPr>
              <w:snapToGrid w:val="0"/>
              <w:ind w:rightChars="56" w:right="112"/>
              <w:jc w:val="center"/>
              <w:rPr>
                <w:b/>
                <w:color w:val="000000" w:themeColor="text1"/>
                <w:lang w:val="fi-FI"/>
              </w:rPr>
            </w:pPr>
            <w:r w:rsidRPr="00A43FDC">
              <w:rPr>
                <w:b/>
                <w:color w:val="000000" w:themeColor="text1"/>
                <w:lang w:val="fi-FI"/>
              </w:rPr>
              <w:t>Operating Profit</w:t>
            </w:r>
          </w:p>
        </w:tc>
        <w:tc>
          <w:tcPr>
            <w:tcW w:w="2598" w:type="dxa"/>
            <w:tcBorders>
              <w:top w:val="single" w:sz="4" w:space="0" w:color="auto"/>
              <w:left w:val="sing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bCs/>
                <w:color w:val="000000"/>
                <w:lang w:val="fi-FI"/>
              </w:rPr>
              <w:t>139.40</w:t>
            </w:r>
          </w:p>
        </w:tc>
        <w:tc>
          <w:tcPr>
            <w:tcW w:w="2599" w:type="dxa"/>
            <w:tcBorders>
              <w:top w:val="single" w:sz="4" w:space="0" w:color="auto"/>
              <w:left w:val="sing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bCs/>
                <w:color w:val="000000"/>
                <w:lang w:val="fi-FI"/>
              </w:rPr>
              <w:t>187.50</w:t>
            </w:r>
          </w:p>
        </w:tc>
        <w:tc>
          <w:tcPr>
            <w:tcW w:w="2599" w:type="dxa"/>
            <w:tcBorders>
              <w:top w:val="single" w:sz="4" w:space="0" w:color="auto"/>
              <w:left w:val="double" w:sz="4" w:space="0" w:color="auto"/>
              <w:bottom w:val="single" w:sz="4" w:space="0" w:color="auto"/>
              <w:right w:val="nil"/>
            </w:tcBorders>
            <w:vAlign w:val="center"/>
            <w:hideMark/>
          </w:tcPr>
          <w:p w:rsidR="00A43FDC" w:rsidRPr="00A43FDC" w:rsidRDefault="00A43FDC" w:rsidP="00A43FDC">
            <w:pPr>
              <w:jc w:val="center"/>
              <w:rPr>
                <w:b/>
                <w:lang w:val="fi-FI"/>
              </w:rPr>
            </w:pPr>
            <w:r w:rsidRPr="00A43FDC">
              <w:rPr>
                <w:b/>
                <w:bCs/>
                <w:color w:val="000000"/>
                <w:lang w:val="fi-FI"/>
              </w:rPr>
              <w:t>146.10</w:t>
            </w:r>
          </w:p>
        </w:tc>
      </w:tr>
    </w:tbl>
    <w:p w:rsidR="00A43FDC" w:rsidRPr="00A43FDC" w:rsidRDefault="00A43FDC" w:rsidP="00A43FDC">
      <w:pPr>
        <w:rPr>
          <w:color w:val="000000" w:themeColor="text1"/>
          <w:sz w:val="22"/>
          <w:szCs w:val="22"/>
          <w:lang w:val="fi-FI"/>
        </w:rPr>
      </w:pPr>
    </w:p>
    <w:tbl>
      <w:tblPr>
        <w:tblStyle w:val="TableGrid1"/>
        <w:tblW w:w="10348" w:type="dxa"/>
        <w:tblInd w:w="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A43FDC" w:rsidRPr="00A43FDC" w:rsidTr="00A43FDC">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(Unit: Million USD)</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Q4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Q3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Q4 FY 2018</w:t>
            </w:r>
          </w:p>
        </w:tc>
      </w:tr>
      <w:tr w:rsidR="00A43FDC" w:rsidRPr="00A43FDC" w:rsidTr="00A43FDC">
        <w:trPr>
          <w:trHeight w:val="363"/>
        </w:trPr>
        <w:tc>
          <w:tcPr>
            <w:tcW w:w="2587" w:type="dxa"/>
            <w:tcBorders>
              <w:top w:val="double" w:sz="4" w:space="0" w:color="auto"/>
              <w:left w:val="nil"/>
              <w:bottom w:val="single" w:sz="4" w:space="0" w:color="auto"/>
              <w:right w:val="double" w:sz="4" w:space="0" w:color="auto"/>
            </w:tcBorders>
            <w:vAlign w:val="center"/>
            <w:hideMark/>
          </w:tcPr>
          <w:p w:rsidR="00A43FDC" w:rsidRPr="00A43FDC" w:rsidRDefault="00A43FDC" w:rsidP="00A43FDC">
            <w:pPr>
              <w:snapToGrid w:val="0"/>
              <w:ind w:rightChars="56" w:right="112"/>
              <w:jc w:val="center"/>
              <w:rPr>
                <w:b/>
                <w:lang w:val="fi-FI"/>
              </w:rPr>
            </w:pPr>
            <w:r w:rsidRPr="00A43FDC">
              <w:rPr>
                <w:b/>
                <w:lang w:val="fi-FI"/>
              </w:rPr>
              <w:t>Sales</w:t>
            </w:r>
          </w:p>
        </w:tc>
        <w:tc>
          <w:tcPr>
            <w:tcW w:w="2587" w:type="dxa"/>
            <w:tcBorders>
              <w:top w:val="double" w:sz="4" w:space="0" w:color="auto"/>
              <w:left w:val="doub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lang w:val="fi-FI"/>
              </w:rPr>
              <w:t>1,521.5</w:t>
            </w:r>
          </w:p>
        </w:tc>
        <w:tc>
          <w:tcPr>
            <w:tcW w:w="2587" w:type="dxa"/>
            <w:tcBorders>
              <w:top w:val="double" w:sz="4" w:space="0" w:color="auto"/>
              <w:left w:val="doub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lang w:val="fi-FI"/>
              </w:rPr>
              <w:t>1,565.1</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rsidR="00A43FDC" w:rsidRPr="00A43FDC" w:rsidRDefault="00A43FDC" w:rsidP="00A43FDC">
            <w:pPr>
              <w:jc w:val="center"/>
              <w:rPr>
                <w:b/>
                <w:lang w:val="fi-FI"/>
              </w:rPr>
            </w:pPr>
            <w:r w:rsidRPr="00A43FDC">
              <w:rPr>
                <w:b/>
                <w:lang w:val="fi-FI"/>
              </w:rPr>
              <w:t>1,530.5</w:t>
            </w:r>
          </w:p>
        </w:tc>
      </w:tr>
      <w:tr w:rsidR="00A43FDC" w:rsidRPr="00A43FDC" w:rsidTr="00A43FDC">
        <w:trPr>
          <w:trHeight w:val="363"/>
        </w:trPr>
        <w:tc>
          <w:tcPr>
            <w:tcW w:w="2587" w:type="dxa"/>
            <w:tcBorders>
              <w:top w:val="single" w:sz="4" w:space="0" w:color="auto"/>
              <w:left w:val="nil"/>
              <w:bottom w:val="single" w:sz="4" w:space="0" w:color="auto"/>
              <w:right w:val="double" w:sz="4" w:space="0" w:color="auto"/>
            </w:tcBorders>
            <w:vAlign w:val="center"/>
            <w:hideMark/>
          </w:tcPr>
          <w:p w:rsidR="00A43FDC" w:rsidRPr="00A43FDC" w:rsidRDefault="00A43FDC" w:rsidP="00A43FDC">
            <w:pPr>
              <w:snapToGrid w:val="0"/>
              <w:ind w:rightChars="56" w:right="112"/>
              <w:jc w:val="center"/>
              <w:rPr>
                <w:b/>
                <w:lang w:val="fi-FI"/>
              </w:rPr>
            </w:pPr>
            <w:r w:rsidRPr="00A43FDC">
              <w:rPr>
                <w:b/>
                <w:lang w:val="fi-FI"/>
              </w:rPr>
              <w:t>Operating Profit</w:t>
            </w:r>
          </w:p>
        </w:tc>
        <w:tc>
          <w:tcPr>
            <w:tcW w:w="2587" w:type="dxa"/>
            <w:tcBorders>
              <w:top w:val="single" w:sz="4" w:space="0" w:color="auto"/>
              <w:left w:val="doub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lang w:val="fi-FI"/>
              </w:rPr>
              <w:t>126.1</w:t>
            </w:r>
          </w:p>
        </w:tc>
        <w:tc>
          <w:tcPr>
            <w:tcW w:w="2587" w:type="dxa"/>
            <w:tcBorders>
              <w:top w:val="single" w:sz="4" w:space="0" w:color="auto"/>
              <w:left w:val="doub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lang w:val="fi-FI"/>
              </w:rPr>
              <w:t>167.2</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rsidR="00A43FDC" w:rsidRPr="00A43FDC" w:rsidRDefault="00A43FDC" w:rsidP="00A43FDC">
            <w:pPr>
              <w:jc w:val="center"/>
              <w:rPr>
                <w:b/>
                <w:lang w:val="fi-FI"/>
              </w:rPr>
            </w:pPr>
            <w:r w:rsidRPr="00A43FDC">
              <w:rPr>
                <w:b/>
                <w:lang w:val="fi-FI"/>
              </w:rPr>
              <w:t>129.6</w:t>
            </w:r>
          </w:p>
        </w:tc>
      </w:tr>
    </w:tbl>
    <w:p w:rsidR="00A43FDC" w:rsidRPr="00A43FDC" w:rsidRDefault="00A43FDC" w:rsidP="00A43FDC">
      <w:pPr>
        <w:rPr>
          <w:color w:val="FFFFFF" w:themeColor="background1"/>
          <w:lang w:val="fi-FI"/>
        </w:rPr>
      </w:pPr>
    </w:p>
    <w:tbl>
      <w:tblPr>
        <w:tblStyle w:val="TableGrid1"/>
        <w:tblW w:w="10348" w:type="dxa"/>
        <w:tblInd w:w="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A43FDC" w:rsidRPr="00A43FDC" w:rsidTr="00A43FDC">
        <w:trPr>
          <w:trHeight w:val="363"/>
        </w:trPr>
        <w:tc>
          <w:tcPr>
            <w:tcW w:w="2587" w:type="dxa"/>
            <w:tcBorders>
              <w:top w:val="nil"/>
              <w:left w:val="nil"/>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Q4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Q3 FY 2018</w:t>
            </w:r>
          </w:p>
        </w:tc>
        <w:tc>
          <w:tcPr>
            <w:tcW w:w="2587" w:type="dxa"/>
            <w:tcBorders>
              <w:top w:val="nil"/>
              <w:left w:val="double" w:sz="4" w:space="0" w:color="auto"/>
              <w:bottom w:val="double" w:sz="4" w:space="0" w:color="auto"/>
              <w:right w:val="nil"/>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Q4 FY 2018</w:t>
            </w:r>
          </w:p>
        </w:tc>
      </w:tr>
      <w:tr w:rsidR="00A43FDC" w:rsidRPr="00A43FDC" w:rsidTr="00A43FDC">
        <w:trPr>
          <w:trHeight w:val="363"/>
        </w:trPr>
        <w:tc>
          <w:tcPr>
            <w:tcW w:w="2587" w:type="dxa"/>
            <w:tcBorders>
              <w:top w:val="double" w:sz="4" w:space="0" w:color="auto"/>
              <w:left w:val="nil"/>
              <w:bottom w:val="single" w:sz="4" w:space="0" w:color="auto"/>
              <w:right w:val="double" w:sz="4" w:space="0" w:color="auto"/>
            </w:tcBorders>
            <w:vAlign w:val="center"/>
            <w:hideMark/>
          </w:tcPr>
          <w:p w:rsidR="00A43FDC" w:rsidRPr="00A43FDC" w:rsidRDefault="00A43FDC" w:rsidP="00A43FDC">
            <w:pPr>
              <w:snapToGrid w:val="0"/>
              <w:ind w:rightChars="56" w:right="112"/>
              <w:jc w:val="center"/>
              <w:rPr>
                <w:b/>
                <w:lang w:val="fi-FI"/>
              </w:rPr>
            </w:pPr>
            <w:r w:rsidRPr="00A43FDC">
              <w:rPr>
                <w:b/>
                <w:lang w:val="fi-FI"/>
              </w:rPr>
              <w:t>Sales</w:t>
            </w:r>
          </w:p>
        </w:tc>
        <w:tc>
          <w:tcPr>
            <w:tcW w:w="2587" w:type="dxa"/>
            <w:tcBorders>
              <w:top w:val="double" w:sz="4" w:space="0" w:color="auto"/>
              <w:left w:val="doub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lang w:val="fi-FI"/>
              </w:rPr>
              <w:t>1,292.3</w:t>
            </w:r>
          </w:p>
        </w:tc>
        <w:tc>
          <w:tcPr>
            <w:tcW w:w="2587" w:type="dxa"/>
            <w:tcBorders>
              <w:top w:val="double" w:sz="4" w:space="0" w:color="auto"/>
              <w:left w:val="doub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lang w:val="fi-FI"/>
              </w:rPr>
              <w:t>1,345.9</w:t>
            </w:r>
          </w:p>
        </w:tc>
        <w:tc>
          <w:tcPr>
            <w:tcW w:w="2587" w:type="dxa"/>
            <w:tcBorders>
              <w:top w:val="double" w:sz="4" w:space="0" w:color="auto"/>
              <w:left w:val="double" w:sz="4" w:space="0" w:color="auto"/>
              <w:bottom w:val="single" w:sz="4" w:space="0" w:color="auto"/>
              <w:right w:val="nil"/>
            </w:tcBorders>
            <w:shd w:val="clear" w:color="auto" w:fill="FFFFFF" w:themeFill="background1"/>
            <w:vAlign w:val="center"/>
            <w:hideMark/>
          </w:tcPr>
          <w:p w:rsidR="00A43FDC" w:rsidRPr="00A43FDC" w:rsidRDefault="00A43FDC" w:rsidP="00A43FDC">
            <w:pPr>
              <w:jc w:val="center"/>
              <w:rPr>
                <w:b/>
                <w:lang w:val="fi-FI"/>
              </w:rPr>
            </w:pPr>
            <w:r w:rsidRPr="00A43FDC">
              <w:rPr>
                <w:b/>
                <w:lang w:val="fi-FI"/>
              </w:rPr>
              <w:t>1,341.4</w:t>
            </w:r>
          </w:p>
        </w:tc>
      </w:tr>
      <w:tr w:rsidR="00A43FDC" w:rsidRPr="00A43FDC" w:rsidTr="00A43FDC">
        <w:trPr>
          <w:trHeight w:val="363"/>
        </w:trPr>
        <w:tc>
          <w:tcPr>
            <w:tcW w:w="2587" w:type="dxa"/>
            <w:tcBorders>
              <w:top w:val="single" w:sz="4" w:space="0" w:color="auto"/>
              <w:left w:val="nil"/>
              <w:bottom w:val="single" w:sz="4" w:space="0" w:color="auto"/>
              <w:right w:val="double" w:sz="4" w:space="0" w:color="auto"/>
            </w:tcBorders>
            <w:vAlign w:val="center"/>
            <w:hideMark/>
          </w:tcPr>
          <w:p w:rsidR="00A43FDC" w:rsidRPr="00A43FDC" w:rsidRDefault="00A43FDC" w:rsidP="00A43FDC">
            <w:pPr>
              <w:snapToGrid w:val="0"/>
              <w:ind w:rightChars="56" w:right="112"/>
              <w:jc w:val="center"/>
              <w:rPr>
                <w:b/>
                <w:lang w:val="fi-FI"/>
              </w:rPr>
            </w:pPr>
            <w:r w:rsidRPr="00A43FDC">
              <w:rPr>
                <w:b/>
                <w:lang w:val="fi-FI"/>
              </w:rPr>
              <w:t>Operating Profit</w:t>
            </w:r>
          </w:p>
        </w:tc>
        <w:tc>
          <w:tcPr>
            <w:tcW w:w="2587" w:type="dxa"/>
            <w:tcBorders>
              <w:top w:val="single" w:sz="4" w:space="0" w:color="auto"/>
              <w:left w:val="doub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lang w:val="fi-FI"/>
              </w:rPr>
              <w:t>107.1</w:t>
            </w:r>
          </w:p>
        </w:tc>
        <w:tc>
          <w:tcPr>
            <w:tcW w:w="2587" w:type="dxa"/>
            <w:tcBorders>
              <w:top w:val="single" w:sz="4" w:space="0" w:color="auto"/>
              <w:left w:val="doub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lang w:val="fi-FI"/>
              </w:rPr>
              <w:t>143.8</w:t>
            </w:r>
          </w:p>
        </w:tc>
        <w:tc>
          <w:tcPr>
            <w:tcW w:w="2587" w:type="dxa"/>
            <w:tcBorders>
              <w:top w:val="single" w:sz="4" w:space="0" w:color="auto"/>
              <w:left w:val="double" w:sz="4" w:space="0" w:color="auto"/>
              <w:bottom w:val="single" w:sz="4" w:space="0" w:color="auto"/>
              <w:right w:val="nil"/>
            </w:tcBorders>
            <w:shd w:val="clear" w:color="auto" w:fill="FFFFFF" w:themeFill="background1"/>
            <w:vAlign w:val="center"/>
            <w:hideMark/>
          </w:tcPr>
          <w:p w:rsidR="00A43FDC" w:rsidRPr="00A43FDC" w:rsidRDefault="00A43FDC" w:rsidP="00A43FDC">
            <w:pPr>
              <w:jc w:val="center"/>
              <w:rPr>
                <w:b/>
                <w:lang w:val="fi-FI"/>
              </w:rPr>
            </w:pPr>
            <w:r w:rsidRPr="00A43FDC">
              <w:rPr>
                <w:b/>
                <w:lang w:val="fi-FI"/>
              </w:rPr>
              <w:t>113.6</w:t>
            </w:r>
          </w:p>
        </w:tc>
      </w:tr>
    </w:tbl>
    <w:p w:rsidR="00A43FDC" w:rsidRPr="00A43FDC" w:rsidRDefault="00A43FDC" w:rsidP="00A43FDC">
      <w:pPr>
        <w:snapToGrid w:val="0"/>
        <w:ind w:leftChars="71" w:left="142" w:rightChars="56" w:right="112"/>
        <w:rPr>
          <w:sz w:val="22"/>
          <w:szCs w:val="22"/>
          <w:lang w:val="fi-FI"/>
        </w:rPr>
      </w:pPr>
    </w:p>
    <w:p w:rsidR="00A43FDC" w:rsidRPr="00A43FDC" w:rsidRDefault="00A43FDC" w:rsidP="00A43FDC">
      <w:pPr>
        <w:snapToGrid w:val="0"/>
        <w:ind w:leftChars="71" w:left="142" w:rightChars="56" w:right="112"/>
        <w:rPr>
          <w:b/>
          <w:i/>
          <w:sz w:val="22"/>
          <w:szCs w:val="22"/>
          <w:lang w:val="fi-FI"/>
        </w:rPr>
      </w:pPr>
      <w:r w:rsidRPr="00A43FDC">
        <w:rPr>
          <w:b/>
          <w:i/>
          <w:sz w:val="22"/>
          <w:szCs w:val="22"/>
          <w:lang w:val="fi-FI"/>
        </w:rPr>
        <w:t>*Exchange Rates:</w:t>
      </w:r>
    </w:p>
    <w:tbl>
      <w:tblPr>
        <w:tblStyle w:val="TableGrid1"/>
        <w:tblW w:w="10348" w:type="dxa"/>
        <w:tblInd w:w="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A43FDC" w:rsidRPr="00A43FDC" w:rsidTr="00A43FDC">
        <w:trPr>
          <w:trHeight w:val="363"/>
        </w:trPr>
        <w:tc>
          <w:tcPr>
            <w:tcW w:w="2587" w:type="dxa"/>
            <w:tcBorders>
              <w:top w:val="single" w:sz="4" w:space="0" w:color="auto"/>
              <w:left w:val="nil"/>
              <w:bottom w:val="double" w:sz="4" w:space="0" w:color="auto"/>
              <w:right w:val="double" w:sz="4" w:space="0" w:color="auto"/>
            </w:tcBorders>
            <w:shd w:val="clear" w:color="auto" w:fill="7F7F7F" w:themeFill="text1" w:themeFillTint="80"/>
            <w:vAlign w:val="center"/>
          </w:tcPr>
          <w:p w:rsidR="00A43FDC" w:rsidRPr="00A43FDC" w:rsidRDefault="00A43FDC" w:rsidP="00A43FDC">
            <w:pPr>
              <w:snapToGrid w:val="0"/>
              <w:ind w:rightChars="56" w:right="112"/>
              <w:jc w:val="center"/>
              <w:rPr>
                <w:b/>
                <w:lang w:val="fi-FI"/>
              </w:rPr>
            </w:pPr>
          </w:p>
        </w:tc>
        <w:tc>
          <w:tcPr>
            <w:tcW w:w="2587" w:type="dxa"/>
            <w:tcBorders>
              <w:top w:val="single" w:sz="4" w:space="0" w:color="auto"/>
              <w:left w:val="single" w:sz="4" w:space="0" w:color="auto"/>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Q4 FY 2017</w:t>
            </w:r>
          </w:p>
        </w:tc>
        <w:tc>
          <w:tcPr>
            <w:tcW w:w="2587" w:type="dxa"/>
            <w:tcBorders>
              <w:top w:val="single" w:sz="4" w:space="0" w:color="auto"/>
              <w:left w:val="double" w:sz="4" w:space="0" w:color="auto"/>
              <w:bottom w:val="double" w:sz="4" w:space="0" w:color="auto"/>
              <w:right w:val="double" w:sz="4" w:space="0" w:color="auto"/>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Q3 FY 2018</w:t>
            </w:r>
          </w:p>
        </w:tc>
        <w:tc>
          <w:tcPr>
            <w:tcW w:w="2587" w:type="dxa"/>
            <w:tcBorders>
              <w:top w:val="single" w:sz="4" w:space="0" w:color="auto"/>
              <w:left w:val="double" w:sz="4" w:space="0" w:color="auto"/>
              <w:bottom w:val="double" w:sz="4" w:space="0" w:color="auto"/>
              <w:right w:val="nil"/>
            </w:tcBorders>
            <w:shd w:val="clear" w:color="auto" w:fill="7F7F7F" w:themeFill="text1" w:themeFillTint="80"/>
            <w:vAlign w:val="center"/>
            <w:hideMark/>
          </w:tcPr>
          <w:p w:rsidR="00A43FDC" w:rsidRPr="00A43FDC" w:rsidRDefault="00A43FDC" w:rsidP="00A43FDC">
            <w:pPr>
              <w:snapToGrid w:val="0"/>
              <w:ind w:rightChars="56" w:right="112"/>
              <w:jc w:val="center"/>
              <w:rPr>
                <w:b/>
                <w:color w:val="FFFFFF" w:themeColor="background1"/>
                <w:lang w:val="fi-FI"/>
              </w:rPr>
            </w:pPr>
            <w:r w:rsidRPr="00A43FDC">
              <w:rPr>
                <w:b/>
                <w:color w:val="FFFFFF" w:themeColor="background1"/>
                <w:lang w:val="fi-FI"/>
              </w:rPr>
              <w:t>Q4 FY 2018</w:t>
            </w:r>
          </w:p>
        </w:tc>
      </w:tr>
      <w:tr w:rsidR="00A43FDC" w:rsidRPr="00A43FDC" w:rsidTr="00A43FDC">
        <w:trPr>
          <w:trHeight w:val="363"/>
        </w:trPr>
        <w:tc>
          <w:tcPr>
            <w:tcW w:w="2587" w:type="dxa"/>
            <w:tcBorders>
              <w:top w:val="double" w:sz="4" w:space="0" w:color="auto"/>
              <w:left w:val="nil"/>
              <w:bottom w:val="single" w:sz="4" w:space="0" w:color="auto"/>
              <w:right w:val="double" w:sz="4" w:space="0" w:color="auto"/>
            </w:tcBorders>
            <w:vAlign w:val="center"/>
            <w:hideMark/>
          </w:tcPr>
          <w:p w:rsidR="00A43FDC" w:rsidRPr="00A43FDC" w:rsidRDefault="00A43FDC" w:rsidP="00A43FDC">
            <w:pPr>
              <w:snapToGrid w:val="0"/>
              <w:ind w:rightChars="56" w:right="112"/>
              <w:jc w:val="center"/>
              <w:rPr>
                <w:b/>
                <w:lang w:val="fi-FI"/>
              </w:rPr>
            </w:pPr>
            <w:r w:rsidRPr="00A43FDC">
              <w:rPr>
                <w:b/>
                <w:lang w:val="fi-FI"/>
              </w:rPr>
              <w:t>USD / KRW</w:t>
            </w:r>
          </w:p>
        </w:tc>
        <w:tc>
          <w:tcPr>
            <w:tcW w:w="2587" w:type="dxa"/>
            <w:tcBorders>
              <w:top w:val="double" w:sz="4" w:space="0" w:color="auto"/>
              <w:left w:val="single" w:sz="4" w:space="0" w:color="auto"/>
              <w:bottom w:val="single" w:sz="4" w:space="0" w:color="auto"/>
              <w:right w:val="double" w:sz="4" w:space="0" w:color="auto"/>
            </w:tcBorders>
            <w:hideMark/>
          </w:tcPr>
          <w:p w:rsidR="00A43FDC" w:rsidRPr="00A43FDC" w:rsidRDefault="00A43FDC" w:rsidP="00A43FDC">
            <w:pPr>
              <w:jc w:val="center"/>
              <w:rPr>
                <w:b/>
                <w:lang w:val="fi-FI"/>
              </w:rPr>
            </w:pPr>
            <w:r w:rsidRPr="00A43FDC">
              <w:rPr>
                <w:b/>
                <w:lang w:val="fi-FI"/>
              </w:rPr>
              <w:t>1,105.7</w:t>
            </w:r>
          </w:p>
        </w:tc>
        <w:tc>
          <w:tcPr>
            <w:tcW w:w="2587" w:type="dxa"/>
            <w:tcBorders>
              <w:top w:val="double" w:sz="4" w:space="0" w:color="auto"/>
              <w:left w:val="doub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lang w:val="fi-FI"/>
              </w:rPr>
              <w:t>1,121.6</w:t>
            </w:r>
          </w:p>
        </w:tc>
        <w:tc>
          <w:tcPr>
            <w:tcW w:w="2587" w:type="dxa"/>
            <w:tcBorders>
              <w:top w:val="double" w:sz="4" w:space="0" w:color="auto"/>
              <w:left w:val="double" w:sz="4" w:space="0" w:color="auto"/>
              <w:bottom w:val="single" w:sz="4" w:space="0" w:color="auto"/>
              <w:right w:val="nil"/>
            </w:tcBorders>
            <w:vAlign w:val="center"/>
            <w:hideMark/>
          </w:tcPr>
          <w:p w:rsidR="00A43FDC" w:rsidRPr="00A43FDC" w:rsidRDefault="00A43FDC" w:rsidP="00A43FDC">
            <w:pPr>
              <w:jc w:val="center"/>
              <w:rPr>
                <w:b/>
                <w:lang w:val="fi-FI"/>
              </w:rPr>
            </w:pPr>
            <w:r w:rsidRPr="00A43FDC">
              <w:rPr>
                <w:b/>
                <w:lang w:val="fi-FI"/>
              </w:rPr>
              <w:t>1,127.5</w:t>
            </w:r>
          </w:p>
        </w:tc>
      </w:tr>
      <w:tr w:rsidR="00A43FDC" w:rsidRPr="00A43FDC" w:rsidTr="00A43FDC">
        <w:trPr>
          <w:trHeight w:val="363"/>
        </w:trPr>
        <w:tc>
          <w:tcPr>
            <w:tcW w:w="2587" w:type="dxa"/>
            <w:tcBorders>
              <w:top w:val="single" w:sz="4" w:space="0" w:color="auto"/>
              <w:left w:val="nil"/>
              <w:bottom w:val="single" w:sz="4" w:space="0" w:color="auto"/>
              <w:right w:val="double" w:sz="4" w:space="0" w:color="auto"/>
            </w:tcBorders>
            <w:vAlign w:val="center"/>
            <w:hideMark/>
          </w:tcPr>
          <w:p w:rsidR="00A43FDC" w:rsidRPr="00A43FDC" w:rsidRDefault="00A43FDC" w:rsidP="00A43FDC">
            <w:pPr>
              <w:snapToGrid w:val="0"/>
              <w:ind w:rightChars="56" w:right="112"/>
              <w:jc w:val="center"/>
              <w:rPr>
                <w:b/>
                <w:lang w:val="fi-FI"/>
              </w:rPr>
            </w:pPr>
            <w:r w:rsidRPr="00A43FDC">
              <w:rPr>
                <w:b/>
                <w:lang w:val="fi-FI"/>
              </w:rPr>
              <w:t>EUR / KRW</w:t>
            </w:r>
          </w:p>
        </w:tc>
        <w:tc>
          <w:tcPr>
            <w:tcW w:w="2587" w:type="dxa"/>
            <w:tcBorders>
              <w:top w:val="single" w:sz="4" w:space="0" w:color="auto"/>
              <w:left w:val="single" w:sz="4" w:space="0" w:color="auto"/>
              <w:bottom w:val="single" w:sz="4" w:space="0" w:color="auto"/>
              <w:right w:val="double" w:sz="4" w:space="0" w:color="auto"/>
            </w:tcBorders>
            <w:hideMark/>
          </w:tcPr>
          <w:p w:rsidR="00A43FDC" w:rsidRPr="00A43FDC" w:rsidRDefault="00A43FDC" w:rsidP="00A43FDC">
            <w:pPr>
              <w:jc w:val="center"/>
              <w:rPr>
                <w:b/>
                <w:lang w:val="fi-FI"/>
              </w:rPr>
            </w:pPr>
            <w:r w:rsidRPr="00A43FDC">
              <w:rPr>
                <w:b/>
                <w:lang w:val="fi-FI"/>
              </w:rPr>
              <w:t>1,301.8</w:t>
            </w:r>
          </w:p>
        </w:tc>
        <w:tc>
          <w:tcPr>
            <w:tcW w:w="2587" w:type="dxa"/>
            <w:tcBorders>
              <w:top w:val="single" w:sz="4" w:space="0" w:color="auto"/>
              <w:left w:val="double" w:sz="4" w:space="0" w:color="auto"/>
              <w:bottom w:val="single" w:sz="4" w:space="0" w:color="auto"/>
              <w:right w:val="double" w:sz="4" w:space="0" w:color="auto"/>
            </w:tcBorders>
            <w:vAlign w:val="center"/>
            <w:hideMark/>
          </w:tcPr>
          <w:p w:rsidR="00A43FDC" w:rsidRPr="00A43FDC" w:rsidRDefault="00A43FDC" w:rsidP="00A43FDC">
            <w:pPr>
              <w:jc w:val="center"/>
              <w:rPr>
                <w:b/>
                <w:lang w:val="fi-FI"/>
              </w:rPr>
            </w:pPr>
            <w:r w:rsidRPr="00A43FDC">
              <w:rPr>
                <w:b/>
                <w:lang w:val="fi-FI"/>
              </w:rPr>
              <w:t>1,304.3</w:t>
            </w:r>
          </w:p>
        </w:tc>
        <w:tc>
          <w:tcPr>
            <w:tcW w:w="2587" w:type="dxa"/>
            <w:tcBorders>
              <w:top w:val="single" w:sz="4" w:space="0" w:color="auto"/>
              <w:left w:val="double" w:sz="4" w:space="0" w:color="auto"/>
              <w:bottom w:val="single" w:sz="4" w:space="0" w:color="auto"/>
              <w:right w:val="nil"/>
            </w:tcBorders>
            <w:vAlign w:val="center"/>
            <w:hideMark/>
          </w:tcPr>
          <w:p w:rsidR="00A43FDC" w:rsidRPr="00A43FDC" w:rsidRDefault="00A43FDC" w:rsidP="00A43FDC">
            <w:pPr>
              <w:jc w:val="center"/>
              <w:rPr>
                <w:b/>
                <w:lang w:val="fi-FI"/>
              </w:rPr>
            </w:pPr>
            <w:r w:rsidRPr="00A43FDC">
              <w:rPr>
                <w:b/>
                <w:lang w:val="fi-FI"/>
              </w:rPr>
              <w:t>1,286.4</w:t>
            </w:r>
          </w:p>
        </w:tc>
      </w:tr>
    </w:tbl>
    <w:p w:rsidR="00A43FDC" w:rsidRPr="00A43FDC" w:rsidRDefault="00A43FDC" w:rsidP="00A43FDC">
      <w:pPr>
        <w:widowControl/>
        <w:spacing w:line="207" w:lineRule="atLeast"/>
        <w:ind w:right="112"/>
        <w:jc w:val="left"/>
        <w:rPr>
          <w:rFonts w:eastAsia="Malgun Gothic"/>
          <w:b/>
          <w:bCs/>
          <w:color w:val="000000" w:themeColor="text1"/>
          <w:sz w:val="22"/>
          <w:szCs w:val="22"/>
          <w:shd w:val="clear" w:color="auto" w:fill="FFFFFF"/>
          <w:lang w:val="fi-FI"/>
        </w:rPr>
      </w:pPr>
    </w:p>
    <w:p w:rsidR="00A43FDC" w:rsidRPr="00A43FDC" w:rsidRDefault="00A43FDC" w:rsidP="00A43FDC">
      <w:pPr>
        <w:widowControl/>
        <w:spacing w:line="207" w:lineRule="atLeast"/>
        <w:ind w:right="112"/>
        <w:jc w:val="left"/>
        <w:rPr>
          <w:rFonts w:eastAsia="Malgun Gothic"/>
          <w:color w:val="000000" w:themeColor="text1"/>
          <w:sz w:val="22"/>
          <w:szCs w:val="22"/>
          <w:shd w:val="clear" w:color="auto" w:fill="FFFFFF" w:themeFill="background1"/>
          <w:lang w:val="fi-FI"/>
        </w:rPr>
      </w:pPr>
      <w:r w:rsidRPr="00A43FDC">
        <w:rPr>
          <w:rFonts w:eastAsia="Malgun Gothic"/>
          <w:b/>
          <w:bCs/>
          <w:color w:val="000000" w:themeColor="text1"/>
          <w:sz w:val="22"/>
          <w:szCs w:val="22"/>
          <w:shd w:val="clear" w:color="auto" w:fill="FFFFFF" w:themeFill="background1"/>
          <w:lang w:val="fi-FI"/>
        </w:rPr>
        <w:t>2018 Consolidated Financial Result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090"/>
        <w:gridCol w:w="3090"/>
      </w:tblGrid>
      <w:tr w:rsidR="00A43FDC" w:rsidRPr="00A43FDC" w:rsidTr="00A43FDC">
        <w:trPr>
          <w:trHeight w:val="362"/>
        </w:trPr>
        <w:tc>
          <w:tcPr>
            <w:tcW w:w="255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color w:val="FFFFFF"/>
                <w:sz w:val="22"/>
                <w:szCs w:val="22"/>
                <w:lang w:val="fi-FI"/>
              </w:rPr>
              <w:t>(Unit: Billion KRW)</w:t>
            </w:r>
          </w:p>
        </w:tc>
        <w:tc>
          <w:tcPr>
            <w:tcW w:w="309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color w:val="FFFFFF"/>
                <w:sz w:val="22"/>
                <w:szCs w:val="22"/>
                <w:lang w:val="fi-FI"/>
              </w:rPr>
              <w:t>FY 2017</w:t>
            </w:r>
          </w:p>
        </w:tc>
        <w:tc>
          <w:tcPr>
            <w:tcW w:w="309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Gulim"/>
                <w:b/>
                <w:bCs/>
                <w:color w:val="FFFFFF"/>
                <w:sz w:val="22"/>
                <w:szCs w:val="22"/>
                <w:lang w:val="fi-FI"/>
              </w:rPr>
            </w:pPr>
            <w:r w:rsidRPr="00A43FDC">
              <w:rPr>
                <w:rFonts w:eastAsia="Gulim"/>
                <w:b/>
                <w:bCs/>
                <w:color w:val="FFFFFF"/>
                <w:sz w:val="22"/>
                <w:szCs w:val="22"/>
                <w:lang w:val="fi-FI"/>
              </w:rPr>
              <w:t>FY 2018</w:t>
            </w:r>
          </w:p>
        </w:tc>
      </w:tr>
      <w:tr w:rsidR="00A43FDC" w:rsidRPr="00A43FDC" w:rsidTr="00A43FDC">
        <w:trPr>
          <w:trHeight w:val="362"/>
        </w:trPr>
        <w:tc>
          <w:tcPr>
            <w:tcW w:w="255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sz w:val="22"/>
                <w:szCs w:val="22"/>
                <w:lang w:val="fi-FI"/>
              </w:rPr>
              <w:t>Sales</w:t>
            </w:r>
          </w:p>
        </w:tc>
        <w:tc>
          <w:tcPr>
            <w:tcW w:w="309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60"/>
              <w:jc w:val="center"/>
              <w:rPr>
                <w:rFonts w:eastAsia="Gulim"/>
                <w:b/>
                <w:color w:val="000000" w:themeColor="text1"/>
                <w:sz w:val="22"/>
                <w:szCs w:val="22"/>
                <w:lang w:val="fi-FI"/>
              </w:rPr>
            </w:pPr>
            <w:r w:rsidRPr="00A43FDC">
              <w:rPr>
                <w:rFonts w:eastAsia="Gulim"/>
                <w:b/>
                <w:color w:val="000000" w:themeColor="text1"/>
                <w:sz w:val="22"/>
                <w:szCs w:val="22"/>
                <w:lang w:val="fi-FI"/>
              </w:rPr>
              <w:t>6,812.9</w:t>
            </w:r>
          </w:p>
        </w:tc>
        <w:tc>
          <w:tcPr>
            <w:tcW w:w="309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60"/>
              <w:jc w:val="center"/>
              <w:rPr>
                <w:rFonts w:eastAsia="Gulim"/>
                <w:b/>
                <w:color w:val="000000" w:themeColor="text1"/>
                <w:sz w:val="22"/>
                <w:szCs w:val="22"/>
                <w:lang w:val="fi-FI"/>
              </w:rPr>
            </w:pPr>
            <w:r w:rsidRPr="00A43FDC">
              <w:rPr>
                <w:rFonts w:eastAsia="Gulim"/>
                <w:b/>
                <w:color w:val="000000" w:themeColor="text1"/>
                <w:sz w:val="22"/>
                <w:szCs w:val="22"/>
                <w:lang w:val="fi-FI"/>
              </w:rPr>
              <w:t>6,795.5</w:t>
            </w:r>
          </w:p>
        </w:tc>
      </w:tr>
      <w:tr w:rsidR="00A43FDC" w:rsidRPr="00A43FDC" w:rsidTr="00A43FDC">
        <w:trPr>
          <w:trHeight w:val="362"/>
        </w:trPr>
        <w:tc>
          <w:tcPr>
            <w:tcW w:w="255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sz w:val="22"/>
                <w:szCs w:val="22"/>
                <w:lang w:val="fi-FI"/>
              </w:rPr>
              <w:t>Operating Profit</w:t>
            </w:r>
          </w:p>
        </w:tc>
        <w:tc>
          <w:tcPr>
            <w:tcW w:w="309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60"/>
              <w:jc w:val="center"/>
              <w:rPr>
                <w:rFonts w:eastAsia="Gulim"/>
                <w:b/>
                <w:color w:val="000000" w:themeColor="text1"/>
                <w:sz w:val="22"/>
                <w:szCs w:val="22"/>
                <w:lang w:val="fi-FI"/>
              </w:rPr>
            </w:pPr>
            <w:r w:rsidRPr="00A43FDC">
              <w:rPr>
                <w:rFonts w:eastAsia="Gulim"/>
                <w:b/>
                <w:color w:val="000000" w:themeColor="text1"/>
                <w:sz w:val="22"/>
                <w:szCs w:val="22"/>
                <w:lang w:val="fi-FI"/>
              </w:rPr>
              <w:t>793.4</w:t>
            </w:r>
          </w:p>
        </w:tc>
        <w:tc>
          <w:tcPr>
            <w:tcW w:w="309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60"/>
              <w:jc w:val="center"/>
              <w:rPr>
                <w:rFonts w:eastAsia="Gulim"/>
                <w:b/>
                <w:color w:val="000000" w:themeColor="text1"/>
                <w:sz w:val="22"/>
                <w:szCs w:val="22"/>
                <w:lang w:val="fi-FI"/>
              </w:rPr>
            </w:pPr>
            <w:r w:rsidRPr="00A43FDC">
              <w:rPr>
                <w:rFonts w:eastAsia="Gulim"/>
                <w:b/>
                <w:color w:val="000000" w:themeColor="text1"/>
                <w:sz w:val="22"/>
                <w:szCs w:val="22"/>
                <w:lang w:val="fi-FI"/>
              </w:rPr>
              <w:t>703.7</w:t>
            </w:r>
          </w:p>
        </w:tc>
      </w:tr>
    </w:tbl>
    <w:p w:rsidR="00A43FDC" w:rsidRPr="00A43FDC" w:rsidRDefault="00A43FDC" w:rsidP="00A43FDC">
      <w:pPr>
        <w:widowControl/>
        <w:jc w:val="left"/>
        <w:rPr>
          <w:rFonts w:eastAsia="Gulim"/>
          <w:sz w:val="22"/>
          <w:szCs w:val="22"/>
          <w:lang w:val="fi-FI"/>
        </w:rPr>
      </w:pPr>
      <w:r w:rsidRPr="00A43FDC">
        <w:rPr>
          <w:rFonts w:eastAsia="Malgun Gothic"/>
          <w:color w:val="500050"/>
          <w:sz w:val="22"/>
          <w:szCs w:val="22"/>
          <w:shd w:val="clear" w:color="auto" w:fill="FFFFFF"/>
          <w:lang w:val="fi-FI"/>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50"/>
        <w:gridCol w:w="3120"/>
        <w:gridCol w:w="3120"/>
      </w:tblGrid>
      <w:tr w:rsidR="00A43FDC" w:rsidRPr="00A43FDC" w:rsidTr="00A43FDC">
        <w:trPr>
          <w:trHeight w:val="363"/>
        </w:trPr>
        <w:tc>
          <w:tcPr>
            <w:tcW w:w="255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Malgun Gothic"/>
                <w:color w:val="222222"/>
                <w:sz w:val="22"/>
                <w:szCs w:val="22"/>
                <w:lang w:val="fi-FI"/>
              </w:rPr>
            </w:pPr>
            <w:r w:rsidRPr="00A43FDC">
              <w:rPr>
                <w:rFonts w:eastAsia="Malgun Gothic"/>
                <w:b/>
                <w:bCs/>
                <w:color w:val="FFFFFF"/>
                <w:sz w:val="22"/>
                <w:szCs w:val="22"/>
                <w:lang w:val="fi-FI"/>
              </w:rPr>
              <w:t>(Unit: Million USD)</w:t>
            </w:r>
          </w:p>
        </w:tc>
        <w:tc>
          <w:tcPr>
            <w:tcW w:w="312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Malgun Gothic"/>
                <w:b/>
                <w:bCs/>
                <w:color w:val="FFFFFF"/>
                <w:sz w:val="22"/>
                <w:szCs w:val="22"/>
                <w:lang w:val="fi-FI"/>
              </w:rPr>
            </w:pPr>
            <w:r w:rsidRPr="00A43FDC">
              <w:rPr>
                <w:rFonts w:eastAsia="Gulim"/>
                <w:b/>
                <w:bCs/>
                <w:color w:val="FFFFFF"/>
                <w:sz w:val="22"/>
                <w:szCs w:val="22"/>
                <w:lang w:val="fi-FI"/>
              </w:rPr>
              <w:t>FY 2017</w:t>
            </w:r>
          </w:p>
        </w:tc>
        <w:tc>
          <w:tcPr>
            <w:tcW w:w="312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Malgun Gothic"/>
                <w:b/>
                <w:color w:val="222222"/>
                <w:sz w:val="22"/>
                <w:szCs w:val="22"/>
                <w:lang w:val="fi-FI"/>
              </w:rPr>
            </w:pPr>
            <w:r w:rsidRPr="00A43FDC">
              <w:rPr>
                <w:rFonts w:eastAsia="Gulim"/>
                <w:b/>
                <w:bCs/>
                <w:color w:val="FFFFFF"/>
                <w:sz w:val="22"/>
                <w:szCs w:val="22"/>
                <w:lang w:val="fi-FI"/>
              </w:rPr>
              <w:t>FY 2018</w:t>
            </w:r>
          </w:p>
        </w:tc>
      </w:tr>
      <w:tr w:rsidR="00A43FDC" w:rsidRPr="00A43FDC" w:rsidTr="00A43FDC">
        <w:trPr>
          <w:trHeight w:val="363"/>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FDC" w:rsidRPr="00A43FDC" w:rsidRDefault="00A43FDC" w:rsidP="00A43FDC">
            <w:pPr>
              <w:widowControl/>
              <w:ind w:right="112"/>
              <w:jc w:val="center"/>
              <w:rPr>
                <w:rFonts w:eastAsia="Malgun Gothic"/>
                <w:color w:val="222222"/>
                <w:sz w:val="22"/>
                <w:szCs w:val="22"/>
                <w:lang w:val="fi-FI"/>
              </w:rPr>
            </w:pPr>
            <w:r w:rsidRPr="00A43FDC">
              <w:rPr>
                <w:rFonts w:eastAsia="Malgun Gothic"/>
                <w:b/>
                <w:bCs/>
                <w:color w:val="222222"/>
                <w:sz w:val="22"/>
                <w:szCs w:val="22"/>
                <w:lang w:val="fi-FI"/>
              </w:rPr>
              <w:t>Sales</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A43FDC" w:rsidRPr="00A43FDC" w:rsidRDefault="00A43FDC" w:rsidP="00A43FDC">
            <w:pPr>
              <w:widowControl/>
              <w:jc w:val="center"/>
              <w:rPr>
                <w:rFonts w:eastAsia="Malgun Gothic"/>
                <w:b/>
                <w:bCs/>
                <w:color w:val="000000" w:themeColor="text1"/>
                <w:sz w:val="22"/>
                <w:szCs w:val="22"/>
                <w:lang w:val="fi-FI"/>
              </w:rPr>
            </w:pPr>
            <w:r w:rsidRPr="00A43FDC">
              <w:rPr>
                <w:rFonts w:eastAsia="Malgun Gothic"/>
                <w:b/>
                <w:bCs/>
                <w:color w:val="000000" w:themeColor="text1"/>
                <w:sz w:val="22"/>
                <w:szCs w:val="22"/>
                <w:lang w:val="fi-FI"/>
              </w:rPr>
              <w:t>6,024.6</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A43FDC" w:rsidRPr="00A43FDC" w:rsidRDefault="00A43FDC" w:rsidP="00A43FDC">
            <w:pPr>
              <w:widowControl/>
              <w:jc w:val="center"/>
              <w:rPr>
                <w:rFonts w:eastAsia="Malgun Gothic"/>
                <w:b/>
                <w:color w:val="000000" w:themeColor="text1"/>
                <w:sz w:val="22"/>
                <w:szCs w:val="22"/>
                <w:lang w:val="fi-FI"/>
              </w:rPr>
            </w:pPr>
            <w:r w:rsidRPr="00A43FDC">
              <w:rPr>
                <w:rFonts w:eastAsia="Malgun Gothic"/>
                <w:b/>
                <w:color w:val="000000" w:themeColor="text1"/>
                <w:sz w:val="22"/>
                <w:szCs w:val="22"/>
                <w:lang w:val="fi-FI"/>
              </w:rPr>
              <w:t xml:space="preserve">6,176.0 </w:t>
            </w:r>
          </w:p>
        </w:tc>
      </w:tr>
      <w:tr w:rsidR="00A43FDC" w:rsidRPr="00A43FDC" w:rsidTr="00A43FDC">
        <w:trPr>
          <w:trHeight w:val="363"/>
        </w:trPr>
        <w:tc>
          <w:tcPr>
            <w:tcW w:w="2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FDC" w:rsidRPr="00A43FDC" w:rsidRDefault="00A43FDC" w:rsidP="00A43FDC">
            <w:pPr>
              <w:widowControl/>
              <w:ind w:right="112"/>
              <w:jc w:val="center"/>
              <w:rPr>
                <w:rFonts w:eastAsia="Malgun Gothic"/>
                <w:color w:val="222222"/>
                <w:sz w:val="22"/>
                <w:szCs w:val="22"/>
                <w:lang w:val="fi-FI"/>
              </w:rPr>
            </w:pPr>
            <w:r w:rsidRPr="00A43FDC">
              <w:rPr>
                <w:rFonts w:eastAsia="Malgun Gothic"/>
                <w:b/>
                <w:bCs/>
                <w:color w:val="222222"/>
                <w:sz w:val="22"/>
                <w:szCs w:val="22"/>
                <w:lang w:val="fi-FI"/>
              </w:rPr>
              <w:t>Operating Profit</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A43FDC" w:rsidRPr="00A43FDC" w:rsidRDefault="00A43FDC" w:rsidP="00A43FDC">
            <w:pPr>
              <w:widowControl/>
              <w:jc w:val="center"/>
              <w:rPr>
                <w:rFonts w:eastAsia="Malgun Gothic"/>
                <w:b/>
                <w:bCs/>
                <w:color w:val="000000" w:themeColor="text1"/>
                <w:sz w:val="22"/>
                <w:szCs w:val="22"/>
                <w:lang w:val="fi-FI"/>
              </w:rPr>
            </w:pPr>
            <w:r w:rsidRPr="00A43FDC">
              <w:rPr>
                <w:rFonts w:eastAsia="Malgun Gothic"/>
                <w:b/>
                <w:bCs/>
                <w:color w:val="000000" w:themeColor="text1"/>
                <w:sz w:val="22"/>
                <w:szCs w:val="22"/>
                <w:lang w:val="fi-FI"/>
              </w:rPr>
              <w:t>701.6</w:t>
            </w:r>
          </w:p>
        </w:tc>
        <w:tc>
          <w:tcPr>
            <w:tcW w:w="3120" w:type="dxa"/>
            <w:tcBorders>
              <w:top w:val="single" w:sz="4" w:space="0" w:color="auto"/>
              <w:left w:val="single" w:sz="4" w:space="0" w:color="auto"/>
              <w:bottom w:val="single" w:sz="4" w:space="0" w:color="auto"/>
              <w:right w:val="single" w:sz="4" w:space="0" w:color="auto"/>
            </w:tcBorders>
            <w:shd w:val="clear" w:color="auto" w:fill="auto"/>
            <w:hideMark/>
          </w:tcPr>
          <w:p w:rsidR="00A43FDC" w:rsidRPr="00A43FDC" w:rsidRDefault="00A43FDC" w:rsidP="00A43FDC">
            <w:pPr>
              <w:widowControl/>
              <w:jc w:val="center"/>
              <w:rPr>
                <w:rFonts w:eastAsia="Malgun Gothic"/>
                <w:b/>
                <w:color w:val="000000" w:themeColor="text1"/>
                <w:sz w:val="22"/>
                <w:szCs w:val="22"/>
                <w:lang w:val="fi-FI"/>
              </w:rPr>
            </w:pPr>
            <w:r w:rsidRPr="00A43FDC">
              <w:rPr>
                <w:rFonts w:eastAsia="Malgun Gothic"/>
                <w:b/>
                <w:sz w:val="22"/>
                <w:szCs w:val="22"/>
                <w:lang w:val="fi-FI"/>
              </w:rPr>
              <w:t>639.6</w:t>
            </w:r>
          </w:p>
        </w:tc>
      </w:tr>
    </w:tbl>
    <w:p w:rsidR="00A43FDC" w:rsidRPr="00A43FDC" w:rsidRDefault="00A43FDC" w:rsidP="00A43FDC">
      <w:pPr>
        <w:widowControl/>
        <w:spacing w:line="207" w:lineRule="atLeast"/>
        <w:ind w:left="142" w:right="112"/>
        <w:jc w:val="left"/>
        <w:rPr>
          <w:rFonts w:eastAsia="Malgun Gothic"/>
          <w:color w:val="500050"/>
          <w:sz w:val="22"/>
          <w:szCs w:val="22"/>
          <w:shd w:val="clear" w:color="auto" w:fill="FFFFFF"/>
          <w:lang w:val="fi-FI"/>
        </w:rPr>
      </w:pPr>
      <w:r w:rsidRPr="00A43FDC">
        <w:rPr>
          <w:rFonts w:eastAsia="Malgun Gothic"/>
          <w:color w:val="500050"/>
          <w:sz w:val="22"/>
          <w:szCs w:val="22"/>
          <w:shd w:val="clear" w:color="auto" w:fill="FFFFFF"/>
          <w:lang w:val="fi-FI"/>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A43FDC" w:rsidRPr="00A43FDC" w:rsidTr="00A43FDC">
        <w:trPr>
          <w:trHeight w:val="363"/>
        </w:trPr>
        <w:tc>
          <w:tcPr>
            <w:tcW w:w="255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color w:val="FFFFFF"/>
                <w:sz w:val="22"/>
                <w:szCs w:val="22"/>
                <w:lang w:val="fi-FI"/>
              </w:rPr>
              <w:t>(Unit: Million EUR)</w:t>
            </w:r>
          </w:p>
        </w:tc>
        <w:tc>
          <w:tcPr>
            <w:tcW w:w="312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color w:val="FFFFFF"/>
                <w:sz w:val="22"/>
                <w:szCs w:val="22"/>
                <w:lang w:val="fi-FI"/>
              </w:rPr>
              <w:t>FY 2017</w:t>
            </w:r>
          </w:p>
        </w:tc>
        <w:tc>
          <w:tcPr>
            <w:tcW w:w="312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Gulim"/>
                <w:b/>
                <w:sz w:val="22"/>
                <w:szCs w:val="22"/>
                <w:lang w:val="fi-FI"/>
              </w:rPr>
            </w:pPr>
            <w:r w:rsidRPr="00A43FDC">
              <w:rPr>
                <w:rFonts w:eastAsia="Gulim"/>
                <w:b/>
                <w:bCs/>
                <w:color w:val="FFFFFF"/>
                <w:sz w:val="22"/>
                <w:szCs w:val="22"/>
                <w:lang w:val="fi-FI"/>
              </w:rPr>
              <w:t>FY 2018</w:t>
            </w:r>
          </w:p>
        </w:tc>
      </w:tr>
      <w:tr w:rsidR="00A43FDC" w:rsidRPr="00A43FDC" w:rsidTr="00A43FDC">
        <w:trPr>
          <w:trHeight w:val="363"/>
        </w:trPr>
        <w:tc>
          <w:tcPr>
            <w:tcW w:w="255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sz w:val="22"/>
                <w:szCs w:val="22"/>
                <w:lang w:val="fi-FI"/>
              </w:rPr>
              <w:t>Sales</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jc w:val="center"/>
              <w:rPr>
                <w:rFonts w:eastAsia="Gulim"/>
                <w:b/>
                <w:color w:val="000000" w:themeColor="text1"/>
                <w:sz w:val="22"/>
                <w:szCs w:val="22"/>
                <w:lang w:val="fi-FI"/>
              </w:rPr>
            </w:pPr>
            <w:r w:rsidRPr="00A43FDC">
              <w:rPr>
                <w:rFonts w:eastAsia="Gulim"/>
                <w:b/>
                <w:color w:val="000000" w:themeColor="text1"/>
                <w:sz w:val="22"/>
                <w:szCs w:val="22"/>
                <w:lang w:val="fi-FI"/>
              </w:rPr>
              <w:t>5,337.6</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jc w:val="center"/>
              <w:rPr>
                <w:rFonts w:eastAsia="Gulim"/>
                <w:b/>
                <w:color w:val="000000" w:themeColor="text1"/>
                <w:sz w:val="22"/>
                <w:szCs w:val="22"/>
                <w:lang w:val="fi-FI"/>
              </w:rPr>
            </w:pPr>
            <w:r w:rsidRPr="00A43FDC">
              <w:rPr>
                <w:rFonts w:eastAsia="Gulim"/>
                <w:b/>
                <w:color w:val="000000" w:themeColor="text1"/>
                <w:sz w:val="22"/>
                <w:szCs w:val="22"/>
                <w:lang w:val="fi-FI"/>
              </w:rPr>
              <w:t>5,232.8</w:t>
            </w:r>
          </w:p>
        </w:tc>
      </w:tr>
      <w:tr w:rsidR="00A43FDC" w:rsidRPr="00A43FDC" w:rsidTr="00A43FDC">
        <w:trPr>
          <w:trHeight w:val="363"/>
        </w:trPr>
        <w:tc>
          <w:tcPr>
            <w:tcW w:w="255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sz w:val="22"/>
                <w:szCs w:val="22"/>
                <w:lang w:val="fi-FI"/>
              </w:rPr>
              <w:t>Operating Profit</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jc w:val="center"/>
              <w:rPr>
                <w:rFonts w:eastAsia="Gulim"/>
                <w:b/>
                <w:color w:val="000000" w:themeColor="text1"/>
                <w:sz w:val="22"/>
                <w:szCs w:val="22"/>
                <w:lang w:val="fi-FI"/>
              </w:rPr>
            </w:pPr>
            <w:r w:rsidRPr="00A43FDC">
              <w:rPr>
                <w:rFonts w:eastAsia="Gulim"/>
                <w:b/>
                <w:color w:val="000000" w:themeColor="text1"/>
                <w:sz w:val="22"/>
                <w:szCs w:val="22"/>
                <w:lang w:val="fi-FI"/>
              </w:rPr>
              <w:t>621.6</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jc w:val="center"/>
              <w:rPr>
                <w:rFonts w:eastAsia="Gulim"/>
                <w:b/>
                <w:color w:val="000000" w:themeColor="text1"/>
                <w:sz w:val="22"/>
                <w:szCs w:val="22"/>
                <w:lang w:val="fi-FI"/>
              </w:rPr>
            </w:pPr>
            <w:r w:rsidRPr="00A43FDC">
              <w:rPr>
                <w:rFonts w:eastAsia="Gulim"/>
                <w:b/>
                <w:color w:val="000000" w:themeColor="text1"/>
                <w:sz w:val="22"/>
                <w:szCs w:val="22"/>
                <w:lang w:val="fi-FI"/>
              </w:rPr>
              <w:t>541.9</w:t>
            </w:r>
          </w:p>
        </w:tc>
      </w:tr>
    </w:tbl>
    <w:p w:rsidR="00A43FDC" w:rsidRPr="00A43FDC" w:rsidRDefault="00A43FDC" w:rsidP="00A43FDC">
      <w:pPr>
        <w:widowControl/>
        <w:spacing w:line="207" w:lineRule="atLeast"/>
        <w:ind w:left="142" w:right="112"/>
        <w:jc w:val="left"/>
        <w:rPr>
          <w:rFonts w:eastAsia="Gulim"/>
          <w:sz w:val="22"/>
          <w:szCs w:val="22"/>
          <w:lang w:val="fi-FI"/>
        </w:rPr>
      </w:pPr>
      <w:r w:rsidRPr="00A43FDC">
        <w:rPr>
          <w:rFonts w:eastAsia="Malgun Gothic"/>
          <w:color w:val="500050"/>
          <w:sz w:val="22"/>
          <w:szCs w:val="22"/>
          <w:shd w:val="clear" w:color="auto" w:fill="FFFFFF"/>
          <w:lang w:val="fi-FI"/>
        </w:rPr>
        <w:t> </w:t>
      </w:r>
    </w:p>
    <w:p w:rsidR="00A43FDC" w:rsidRPr="00A43FDC" w:rsidRDefault="00A43FDC" w:rsidP="00A43FDC">
      <w:pPr>
        <w:widowControl/>
        <w:spacing w:line="207" w:lineRule="atLeast"/>
        <w:ind w:right="112"/>
        <w:jc w:val="left"/>
        <w:rPr>
          <w:rFonts w:eastAsia="Malgun Gothic"/>
          <w:color w:val="000000" w:themeColor="text1"/>
          <w:sz w:val="22"/>
          <w:szCs w:val="22"/>
          <w:shd w:val="clear" w:color="auto" w:fill="FFFFFF"/>
          <w:lang w:val="fi-FI"/>
        </w:rPr>
      </w:pPr>
      <w:r w:rsidRPr="00A43FDC">
        <w:rPr>
          <w:rFonts w:eastAsia="Malgun Gothic"/>
          <w:b/>
          <w:bCs/>
          <w:i/>
          <w:iCs/>
          <w:color w:val="000000" w:themeColor="text1"/>
          <w:sz w:val="22"/>
          <w:szCs w:val="22"/>
          <w:shd w:val="clear" w:color="auto" w:fill="FFFFFF"/>
          <w:lang w:val="fi-FI"/>
        </w:rPr>
        <w:t>*Exchange Rates: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0"/>
        <w:gridCol w:w="3120"/>
        <w:gridCol w:w="3120"/>
      </w:tblGrid>
      <w:tr w:rsidR="00A43FDC" w:rsidRPr="00A43FDC" w:rsidTr="00A43FDC">
        <w:trPr>
          <w:trHeight w:val="363"/>
        </w:trPr>
        <w:tc>
          <w:tcPr>
            <w:tcW w:w="255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color w:val="FFFFFF"/>
                <w:sz w:val="22"/>
                <w:szCs w:val="22"/>
                <w:lang w:val="fi-FI"/>
              </w:rPr>
              <w:t> </w:t>
            </w:r>
          </w:p>
        </w:tc>
        <w:tc>
          <w:tcPr>
            <w:tcW w:w="312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color w:val="FFFFFF"/>
                <w:sz w:val="22"/>
                <w:szCs w:val="22"/>
                <w:lang w:val="fi-FI"/>
              </w:rPr>
              <w:t>FY 2017</w:t>
            </w:r>
          </w:p>
        </w:tc>
        <w:tc>
          <w:tcPr>
            <w:tcW w:w="3120" w:type="dxa"/>
            <w:tcBorders>
              <w:top w:val="single" w:sz="4" w:space="0" w:color="auto"/>
              <w:left w:val="single" w:sz="4" w:space="0" w:color="auto"/>
              <w:bottom w:val="single" w:sz="4" w:space="0" w:color="auto"/>
              <w:right w:val="single" w:sz="4" w:space="0" w:color="auto"/>
            </w:tcBorders>
            <w:shd w:val="clear" w:color="auto" w:fill="7F7F7F"/>
            <w:vAlign w:val="center"/>
            <w:hideMark/>
          </w:tcPr>
          <w:p w:rsidR="00A43FDC" w:rsidRPr="00A43FDC" w:rsidRDefault="00A43FDC" w:rsidP="00A43FDC">
            <w:pPr>
              <w:widowControl/>
              <w:ind w:right="112"/>
              <w:jc w:val="center"/>
              <w:rPr>
                <w:rFonts w:eastAsia="Gulim"/>
                <w:b/>
                <w:sz w:val="22"/>
                <w:szCs w:val="22"/>
                <w:lang w:val="fi-FI"/>
              </w:rPr>
            </w:pPr>
            <w:r w:rsidRPr="00A43FDC">
              <w:rPr>
                <w:rFonts w:eastAsia="Gulim"/>
                <w:b/>
                <w:bCs/>
                <w:color w:val="FFFFFF"/>
                <w:sz w:val="22"/>
                <w:szCs w:val="22"/>
                <w:lang w:val="fi-FI"/>
              </w:rPr>
              <w:t>FY 2018</w:t>
            </w:r>
          </w:p>
        </w:tc>
      </w:tr>
      <w:tr w:rsidR="00A43FDC" w:rsidRPr="00A43FDC" w:rsidTr="00A43FDC">
        <w:trPr>
          <w:trHeight w:val="363"/>
        </w:trPr>
        <w:tc>
          <w:tcPr>
            <w:tcW w:w="255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sz w:val="22"/>
                <w:szCs w:val="22"/>
                <w:lang w:val="fi-FI"/>
              </w:rPr>
              <w:t>USD / KRW</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60"/>
              <w:jc w:val="center"/>
              <w:rPr>
                <w:rFonts w:eastAsia="Gulim"/>
                <w:b/>
                <w:color w:val="000000" w:themeColor="text1"/>
                <w:sz w:val="22"/>
                <w:szCs w:val="22"/>
                <w:lang w:val="fi-FI"/>
              </w:rPr>
            </w:pPr>
            <w:r w:rsidRPr="00A43FDC">
              <w:rPr>
                <w:rFonts w:eastAsia="Gulim"/>
                <w:b/>
                <w:color w:val="000000" w:themeColor="text1"/>
                <w:sz w:val="22"/>
                <w:szCs w:val="22"/>
                <w:lang w:val="fi-FI"/>
              </w:rPr>
              <w:t>1,130.84</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60"/>
              <w:jc w:val="center"/>
              <w:rPr>
                <w:rFonts w:eastAsia="Gulim"/>
                <w:b/>
                <w:color w:val="000000" w:themeColor="text1"/>
                <w:sz w:val="22"/>
                <w:szCs w:val="22"/>
                <w:lang w:val="fi-FI"/>
              </w:rPr>
            </w:pPr>
            <w:r w:rsidRPr="00A43FDC">
              <w:rPr>
                <w:rFonts w:eastAsia="Gulim"/>
                <w:b/>
                <w:color w:val="000000" w:themeColor="text1"/>
                <w:sz w:val="22"/>
                <w:szCs w:val="22"/>
                <w:lang w:val="fi-FI"/>
              </w:rPr>
              <w:t>1,100.30</w:t>
            </w:r>
          </w:p>
        </w:tc>
      </w:tr>
      <w:tr w:rsidR="00A43FDC" w:rsidRPr="00A43FDC" w:rsidTr="00A43FDC">
        <w:trPr>
          <w:trHeight w:val="363"/>
        </w:trPr>
        <w:tc>
          <w:tcPr>
            <w:tcW w:w="255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12"/>
              <w:jc w:val="center"/>
              <w:rPr>
                <w:rFonts w:eastAsia="Gulim"/>
                <w:sz w:val="22"/>
                <w:szCs w:val="22"/>
                <w:lang w:val="fi-FI"/>
              </w:rPr>
            </w:pPr>
            <w:r w:rsidRPr="00A43FDC">
              <w:rPr>
                <w:rFonts w:eastAsia="Gulim"/>
                <w:b/>
                <w:bCs/>
                <w:sz w:val="22"/>
                <w:szCs w:val="22"/>
                <w:lang w:val="fi-FI"/>
              </w:rPr>
              <w:t>EUR / KRW</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60"/>
              <w:jc w:val="center"/>
              <w:rPr>
                <w:rFonts w:eastAsia="Gulim"/>
                <w:b/>
                <w:color w:val="000000" w:themeColor="text1"/>
                <w:sz w:val="22"/>
                <w:szCs w:val="22"/>
                <w:lang w:val="fi-FI"/>
              </w:rPr>
            </w:pPr>
            <w:r w:rsidRPr="00A43FDC">
              <w:rPr>
                <w:rFonts w:eastAsia="Gulim"/>
                <w:b/>
                <w:color w:val="000000" w:themeColor="text1"/>
                <w:sz w:val="22"/>
                <w:szCs w:val="22"/>
                <w:lang w:val="fi-FI"/>
              </w:rPr>
              <w:t>1,276.39</w:t>
            </w:r>
          </w:p>
        </w:tc>
        <w:tc>
          <w:tcPr>
            <w:tcW w:w="3120" w:type="dxa"/>
            <w:tcBorders>
              <w:top w:val="single" w:sz="4" w:space="0" w:color="auto"/>
              <w:left w:val="single" w:sz="4" w:space="0" w:color="auto"/>
              <w:bottom w:val="single" w:sz="4" w:space="0" w:color="auto"/>
              <w:right w:val="single" w:sz="4" w:space="0" w:color="auto"/>
            </w:tcBorders>
            <w:vAlign w:val="center"/>
            <w:hideMark/>
          </w:tcPr>
          <w:p w:rsidR="00A43FDC" w:rsidRPr="00A43FDC" w:rsidRDefault="00A43FDC" w:rsidP="00A43FDC">
            <w:pPr>
              <w:widowControl/>
              <w:ind w:right="160"/>
              <w:jc w:val="center"/>
              <w:rPr>
                <w:rFonts w:eastAsia="Gulim"/>
                <w:b/>
                <w:color w:val="000000" w:themeColor="text1"/>
                <w:sz w:val="22"/>
                <w:szCs w:val="22"/>
                <w:lang w:val="fi-FI"/>
              </w:rPr>
            </w:pPr>
            <w:r w:rsidRPr="00A43FDC">
              <w:rPr>
                <w:rFonts w:eastAsia="Gulim"/>
                <w:b/>
                <w:color w:val="000000" w:themeColor="text1"/>
                <w:sz w:val="22"/>
                <w:szCs w:val="22"/>
                <w:lang w:val="fi-FI"/>
              </w:rPr>
              <w:t>1,298.63</w:t>
            </w:r>
          </w:p>
        </w:tc>
      </w:tr>
    </w:tbl>
    <w:p w:rsidR="00A43FDC" w:rsidRPr="00A43FDC" w:rsidRDefault="00A43FDC" w:rsidP="00A43FDC">
      <w:pPr>
        <w:rPr>
          <w:rFonts w:ascii="Arial" w:hAnsi="Arial" w:cs="Arial"/>
          <w:i/>
          <w:iCs/>
          <w:sz w:val="18"/>
          <w:szCs w:val="18"/>
          <w:lang w:val="en-US"/>
        </w:rPr>
      </w:pPr>
      <w:r w:rsidRPr="00A43FDC">
        <w:rPr>
          <w:rFonts w:ascii="Arial" w:hAnsi="Arial" w:cs="Arial"/>
          <w:i/>
          <w:iCs/>
          <w:sz w:val="18"/>
          <w:szCs w:val="18"/>
          <w:lang w:val="en-US"/>
        </w:rPr>
        <w:t>(NOTE: Average exchange rates for the given annual period, retrieved from Korea Exchange Bank)</w:t>
      </w:r>
    </w:p>
    <w:p w:rsidR="00A43FDC" w:rsidRPr="00A43FDC" w:rsidRDefault="00A43FDC" w:rsidP="00A43FDC">
      <w:pPr>
        <w:snapToGrid w:val="0"/>
        <w:spacing w:line="276" w:lineRule="auto"/>
        <w:jc w:val="center"/>
        <w:rPr>
          <w:rFonts w:ascii="Arial" w:hAnsi="Arial" w:cs="Arial"/>
          <w:sz w:val="22"/>
          <w:szCs w:val="22"/>
          <w:lang w:val="en-US"/>
        </w:rPr>
      </w:pPr>
    </w:p>
    <w:p w:rsidR="00A43FDC" w:rsidRPr="001C758F" w:rsidRDefault="00A43FDC" w:rsidP="00A43FDC">
      <w:pPr>
        <w:snapToGrid w:val="0"/>
        <w:spacing w:line="276" w:lineRule="auto"/>
        <w:jc w:val="center"/>
        <w:rPr>
          <w:rFonts w:ascii="Arial" w:hAnsi="Arial" w:cs="Arial"/>
          <w:sz w:val="22"/>
          <w:szCs w:val="22"/>
          <w:lang w:val="en-US"/>
        </w:rPr>
      </w:pPr>
      <w:r w:rsidRPr="001C758F">
        <w:rPr>
          <w:rFonts w:ascii="Arial" w:hAnsi="Arial" w:cs="Arial"/>
          <w:sz w:val="22"/>
          <w:szCs w:val="22"/>
          <w:lang w:val="en-US"/>
        </w:rPr>
        <w:t># # #</w:t>
      </w:r>
    </w:p>
    <w:p w:rsidR="00A43FDC" w:rsidRPr="00A43FDC" w:rsidRDefault="00B51917" w:rsidP="00B51917">
      <w:pPr>
        <w:widowControl/>
        <w:tabs>
          <w:tab w:val="center" w:pos="4648"/>
        </w:tabs>
        <w:rPr>
          <w:snapToGrid w:val="0"/>
          <w:sz w:val="21"/>
          <w:szCs w:val="21"/>
          <w:lang w:eastAsia="de-DE"/>
        </w:rPr>
      </w:pPr>
      <w:r w:rsidRPr="00A43FDC">
        <w:rPr>
          <w:snapToGrid w:val="0"/>
          <w:sz w:val="21"/>
          <w:szCs w:val="21"/>
          <w:lang w:eastAsia="de-DE"/>
        </w:rPr>
        <w:tab/>
      </w:r>
    </w:p>
    <w:p w:rsidR="00A43FDC" w:rsidRDefault="00A43FDC" w:rsidP="00D60213">
      <w:pPr>
        <w:spacing w:line="320" w:lineRule="exact"/>
        <w:rPr>
          <w:b/>
          <w:bCs/>
          <w:sz w:val="21"/>
          <w:szCs w:val="21"/>
          <w:lang w:val="fi-FI"/>
        </w:rPr>
      </w:pPr>
    </w:p>
    <w:p w:rsidR="00A43FDC" w:rsidRDefault="00A43FDC" w:rsidP="00D60213">
      <w:pPr>
        <w:spacing w:line="320" w:lineRule="exact"/>
        <w:rPr>
          <w:b/>
          <w:bCs/>
          <w:sz w:val="21"/>
          <w:szCs w:val="21"/>
          <w:lang w:val="fi-FI"/>
        </w:rPr>
      </w:pPr>
    </w:p>
    <w:p w:rsidR="00A43FDC" w:rsidRDefault="00A43FDC" w:rsidP="00D60213">
      <w:pPr>
        <w:spacing w:line="320" w:lineRule="exact"/>
        <w:rPr>
          <w:b/>
          <w:bCs/>
          <w:sz w:val="21"/>
          <w:szCs w:val="21"/>
          <w:lang w:val="fi-FI"/>
        </w:rPr>
      </w:pPr>
    </w:p>
    <w:p w:rsidR="00A43FDC" w:rsidRDefault="00A43FDC" w:rsidP="00D60213">
      <w:pPr>
        <w:spacing w:line="320" w:lineRule="exact"/>
        <w:rPr>
          <w:b/>
          <w:bCs/>
          <w:sz w:val="21"/>
          <w:szCs w:val="21"/>
          <w:lang w:val="fi-FI"/>
        </w:rPr>
      </w:pPr>
    </w:p>
    <w:p w:rsidR="00A43FDC" w:rsidRDefault="00A43FDC" w:rsidP="00D60213">
      <w:pPr>
        <w:spacing w:line="320" w:lineRule="exact"/>
        <w:rPr>
          <w:b/>
          <w:bCs/>
          <w:sz w:val="21"/>
          <w:szCs w:val="21"/>
          <w:lang w:val="fi-FI"/>
        </w:rPr>
      </w:pPr>
    </w:p>
    <w:p w:rsidR="00D60213" w:rsidRPr="00D60213" w:rsidRDefault="00D60213" w:rsidP="00D60213">
      <w:pPr>
        <w:spacing w:line="320" w:lineRule="exact"/>
        <w:rPr>
          <w:b/>
          <w:bCs/>
          <w:sz w:val="21"/>
          <w:szCs w:val="21"/>
          <w:lang w:val="fi-FI"/>
        </w:rPr>
      </w:pPr>
      <w:r w:rsidRPr="00D60213">
        <w:rPr>
          <w:b/>
          <w:bCs/>
          <w:sz w:val="21"/>
          <w:szCs w:val="21"/>
          <w:lang w:val="fi-FI"/>
        </w:rPr>
        <w:lastRenderedPageBreak/>
        <w:t>Tietoa Hankookista</w:t>
      </w:r>
    </w:p>
    <w:p w:rsidR="00D60213" w:rsidRPr="00D60213" w:rsidRDefault="00D60213" w:rsidP="00D60213">
      <w:pPr>
        <w:spacing w:line="320" w:lineRule="exact"/>
        <w:rPr>
          <w:sz w:val="21"/>
          <w:szCs w:val="21"/>
          <w:lang w:val="sv-SE"/>
        </w:rPr>
      </w:pPr>
      <w:r w:rsidRPr="00D60213">
        <w:rPr>
          <w:sz w:val="21"/>
          <w:szCs w:val="21"/>
          <w:lang w:val="sv-SE"/>
        </w:rPr>
        <w:t xml:space="preserve">Hankook tuottaa huippulaadukkaita, innovatiivisia ja erittäin suorituskykyisiä vyörenkaita henkilöautoihin, SUV-autoihin, maastoautoihin, kevyisiin kuorma-autoihin, matkailuautoihin, kuorma-autoihin, busseihin ja autourheiluun (rata-ajoon ja ralleihin). </w:t>
      </w:r>
    </w:p>
    <w:p w:rsidR="00D60213" w:rsidRPr="00D60213" w:rsidRDefault="00D60213" w:rsidP="00D60213">
      <w:pPr>
        <w:spacing w:line="320" w:lineRule="exact"/>
        <w:rPr>
          <w:sz w:val="21"/>
          <w:szCs w:val="21"/>
          <w:lang w:val="sv-SE"/>
        </w:rPr>
      </w:pPr>
    </w:p>
    <w:p w:rsidR="00D60213" w:rsidRPr="00D60213" w:rsidRDefault="00D60213" w:rsidP="00D60213">
      <w:pPr>
        <w:spacing w:line="320" w:lineRule="exact"/>
        <w:rPr>
          <w:sz w:val="21"/>
          <w:szCs w:val="21"/>
          <w:lang w:val="sv-SE"/>
        </w:rPr>
      </w:pPr>
      <w:r w:rsidRPr="00D60213">
        <w:rPr>
          <w:sz w:val="21"/>
          <w:szCs w:val="21"/>
          <w:lang w:val="sv-SE"/>
        </w:rPr>
        <w:t xml:space="preserve">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 </w:t>
      </w:r>
    </w:p>
    <w:p w:rsidR="00D60213" w:rsidRPr="00D60213" w:rsidRDefault="00D60213" w:rsidP="00D60213">
      <w:pPr>
        <w:spacing w:line="320" w:lineRule="exact"/>
        <w:rPr>
          <w:sz w:val="21"/>
          <w:szCs w:val="21"/>
          <w:lang w:val="sv-SE"/>
        </w:rPr>
      </w:pPr>
    </w:p>
    <w:p w:rsidR="00D60213" w:rsidRPr="00D60213" w:rsidRDefault="00D60213" w:rsidP="00D60213">
      <w:pPr>
        <w:spacing w:line="320" w:lineRule="exact"/>
        <w:rPr>
          <w:sz w:val="21"/>
          <w:szCs w:val="21"/>
          <w:lang w:val="sv-SE"/>
        </w:rPr>
      </w:pPr>
      <w:r w:rsidRPr="00D60213">
        <w:rPr>
          <w:sz w:val="21"/>
          <w:szCs w:val="21"/>
          <w:lang w:val="sv-SE"/>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D60213">
        <w:rPr>
          <w:sz w:val="21"/>
          <w:szCs w:val="21"/>
          <w:lang w:val="sv-SE"/>
        </w:rPr>
        <w:noBreakHyphen/>
        <w:t>kestävysindeksiin (DJSI World).</w:t>
      </w:r>
    </w:p>
    <w:p w:rsidR="00D60213" w:rsidRPr="00D60213" w:rsidRDefault="00D60213" w:rsidP="00D60213">
      <w:pPr>
        <w:spacing w:line="320" w:lineRule="exact"/>
        <w:rPr>
          <w:sz w:val="21"/>
          <w:szCs w:val="21"/>
          <w:lang w:val="sv-SE"/>
        </w:rPr>
      </w:pPr>
    </w:p>
    <w:p w:rsidR="00D60213" w:rsidRPr="00D60213" w:rsidRDefault="00D60213" w:rsidP="00D60213">
      <w:pPr>
        <w:spacing w:line="320" w:lineRule="exact"/>
        <w:rPr>
          <w:sz w:val="21"/>
          <w:szCs w:val="21"/>
          <w:lang w:val="sv-SE"/>
        </w:rPr>
      </w:pPr>
      <w:r w:rsidRPr="00D60213">
        <w:rPr>
          <w:sz w:val="21"/>
          <w:szCs w:val="21"/>
          <w:lang w:val="sv-SE"/>
        </w:rPr>
        <w:t xml:space="preserve">Lisätietoja osoitteessa: </w:t>
      </w:r>
      <w:hyperlink r:id="rId8" w:tgtFrame="_blank" w:tooltip="Abre el enlace externo en una ventana nueva" w:history="1">
        <w:r w:rsidRPr="00D60213">
          <w:rPr>
            <w:lang w:val="sv-SE"/>
          </w:rPr>
          <w:t>www.hankooktire-mediacenter.com</w:t>
        </w:r>
      </w:hyperlink>
      <w:r w:rsidRPr="00D60213">
        <w:rPr>
          <w:sz w:val="21"/>
          <w:szCs w:val="21"/>
          <w:lang w:val="sv-SE"/>
        </w:rPr>
        <w:t xml:space="preserve"> tai </w:t>
      </w:r>
      <w:hyperlink r:id="rId9" w:tgtFrame="_blank" w:tooltip="Avaa ulkoinen linkki uudessa ikkunassa" w:history="1">
        <w:r w:rsidRPr="00D60213">
          <w:rPr>
            <w:lang w:val="sv-SE"/>
          </w:rPr>
          <w:t>www.hankooktire.com</w:t>
        </w:r>
      </w:hyperlink>
      <w:r w:rsidRPr="00D60213">
        <w:rPr>
          <w:sz w:val="21"/>
          <w:szCs w:val="21"/>
          <w:lang w:val="sv-SE"/>
        </w:rPr>
        <w:t xml:space="preserve"> </w:t>
      </w:r>
    </w:p>
    <w:p w:rsidR="00D60213" w:rsidRPr="00D60213" w:rsidRDefault="00D60213" w:rsidP="00D60213">
      <w:pPr>
        <w:spacing w:line="320" w:lineRule="exact"/>
        <w:rPr>
          <w:sz w:val="21"/>
          <w:szCs w:val="21"/>
          <w:lang w:val="sv-SE"/>
        </w:rPr>
      </w:pPr>
    </w:p>
    <w:p w:rsidR="00D60213" w:rsidRPr="00D60213" w:rsidRDefault="00D60213" w:rsidP="00D60213">
      <w:pPr>
        <w:spacing w:line="320" w:lineRule="exact"/>
        <w:rPr>
          <w:sz w:val="21"/>
          <w:szCs w:val="21"/>
          <w:lang w:val="sv-SE"/>
        </w:rPr>
      </w:pPr>
    </w:p>
    <w:p w:rsidR="00D60213" w:rsidRPr="00D60213" w:rsidRDefault="00D60213" w:rsidP="00D60213">
      <w:pPr>
        <w:spacing w:line="320" w:lineRule="exact"/>
        <w:rPr>
          <w:b/>
          <w:bCs/>
          <w:sz w:val="21"/>
          <w:szCs w:val="21"/>
          <w:lang w:val="sv-SE"/>
        </w:rPr>
      </w:pPr>
    </w:p>
    <w:tbl>
      <w:tblPr>
        <w:tblW w:w="9437" w:type="dxa"/>
        <w:tblInd w:w="216" w:type="dxa"/>
        <w:shd w:val="clear" w:color="auto" w:fill="F2F2F2"/>
        <w:tblLook w:val="04A0" w:firstRow="1" w:lastRow="0" w:firstColumn="1" w:lastColumn="0" w:noHBand="0" w:noVBand="1"/>
      </w:tblPr>
      <w:tblGrid>
        <w:gridCol w:w="3312"/>
        <w:gridCol w:w="1704"/>
        <w:gridCol w:w="2210"/>
        <w:gridCol w:w="2211"/>
      </w:tblGrid>
      <w:tr w:rsidR="00D60213" w:rsidRPr="001C758F" w:rsidTr="000D612D">
        <w:tc>
          <w:tcPr>
            <w:tcW w:w="9437" w:type="dxa"/>
            <w:gridSpan w:val="4"/>
            <w:shd w:val="clear" w:color="auto" w:fill="F2F2F2"/>
          </w:tcPr>
          <w:p w:rsidR="00D60213" w:rsidRPr="00D60213" w:rsidRDefault="00D60213" w:rsidP="00D60213">
            <w:pPr>
              <w:spacing w:line="320" w:lineRule="exact"/>
              <w:rPr>
                <w:b/>
                <w:bCs/>
                <w:sz w:val="21"/>
                <w:szCs w:val="21"/>
                <w:u w:val="single"/>
                <w:lang w:val="fi-FI"/>
              </w:rPr>
            </w:pPr>
            <w:r w:rsidRPr="00D60213">
              <w:rPr>
                <w:b/>
                <w:bCs/>
                <w:sz w:val="21"/>
                <w:szCs w:val="21"/>
                <w:u w:val="single"/>
                <w:lang w:val="fi-FI"/>
              </w:rPr>
              <w:t>Yhteystiedot:</w:t>
            </w:r>
          </w:p>
          <w:p w:rsidR="00D60213" w:rsidRPr="00D60213" w:rsidRDefault="00D60213" w:rsidP="00D60213">
            <w:pPr>
              <w:spacing w:line="320" w:lineRule="exact"/>
              <w:rPr>
                <w:b/>
                <w:bCs/>
                <w:sz w:val="21"/>
                <w:szCs w:val="21"/>
                <w:lang w:val="sv-SE"/>
              </w:rPr>
            </w:pPr>
            <w:r w:rsidRPr="00D60213">
              <w:rPr>
                <w:b/>
                <w:bCs/>
                <w:sz w:val="21"/>
                <w:szCs w:val="21"/>
                <w:lang w:val="sv-SE"/>
              </w:rPr>
              <w:t xml:space="preserve">Hankook Tire Sweden AB | </w:t>
            </w:r>
            <w:r w:rsidRPr="00D60213">
              <w:rPr>
                <w:lang w:val="sv-SE"/>
              </w:rPr>
              <w:t>Kanalvägen 12  | 194 61 Upplands-Väsby | Sverige</w:t>
            </w:r>
          </w:p>
          <w:p w:rsidR="00D60213" w:rsidRPr="00D60213" w:rsidRDefault="00D60213" w:rsidP="00D60213">
            <w:pPr>
              <w:spacing w:line="320" w:lineRule="exact"/>
              <w:rPr>
                <w:b/>
                <w:bCs/>
                <w:sz w:val="21"/>
                <w:szCs w:val="21"/>
                <w:u w:val="single"/>
                <w:lang w:val="sv-SE"/>
              </w:rPr>
            </w:pPr>
          </w:p>
        </w:tc>
      </w:tr>
      <w:tr w:rsidR="00D60213" w:rsidRPr="001C758F" w:rsidTr="000D612D">
        <w:tc>
          <w:tcPr>
            <w:tcW w:w="2903" w:type="dxa"/>
            <w:shd w:val="clear" w:color="auto" w:fill="F2F2F2"/>
          </w:tcPr>
          <w:p w:rsidR="00D60213" w:rsidRPr="00D60213" w:rsidRDefault="00D60213" w:rsidP="00D60213">
            <w:pPr>
              <w:spacing w:line="320" w:lineRule="exact"/>
              <w:rPr>
                <w:b/>
                <w:bCs/>
                <w:sz w:val="21"/>
                <w:szCs w:val="21"/>
                <w:lang w:val="sv-SE"/>
              </w:rPr>
            </w:pPr>
            <w:r w:rsidRPr="00D60213">
              <w:rPr>
                <w:b/>
                <w:bCs/>
                <w:sz w:val="21"/>
                <w:szCs w:val="21"/>
                <w:lang w:val="sv-SE"/>
              </w:rPr>
              <w:t>Christine Silfversparre</w:t>
            </w:r>
          </w:p>
          <w:p w:rsidR="00D60213" w:rsidRPr="00D60213" w:rsidRDefault="00D60213" w:rsidP="00D60213">
            <w:pPr>
              <w:spacing w:line="320" w:lineRule="exact"/>
              <w:rPr>
                <w:lang w:val="sv-SE"/>
              </w:rPr>
            </w:pPr>
            <w:r w:rsidRPr="00D60213">
              <w:rPr>
                <w:lang w:val="sv-SE"/>
              </w:rPr>
              <w:t>Marknadschef</w:t>
            </w:r>
          </w:p>
          <w:p w:rsidR="00D60213" w:rsidRPr="00D60213" w:rsidRDefault="00A43FDC" w:rsidP="00D60213">
            <w:pPr>
              <w:spacing w:line="320" w:lineRule="exact"/>
              <w:rPr>
                <w:lang w:val="sv-SE"/>
              </w:rPr>
            </w:pPr>
            <w:r>
              <w:rPr>
                <w:lang w:val="sv-SE"/>
              </w:rPr>
              <w:t>tel</w:t>
            </w:r>
            <w:r w:rsidR="00D60213" w:rsidRPr="00D60213">
              <w:rPr>
                <w:lang w:val="sv-SE"/>
              </w:rPr>
              <w:t>: +46 (0) 733 251 539</w:t>
            </w:r>
          </w:p>
          <w:p w:rsidR="00D60213" w:rsidRPr="00D60213" w:rsidRDefault="008C1766" w:rsidP="00D60213">
            <w:pPr>
              <w:spacing w:line="320" w:lineRule="exact"/>
              <w:rPr>
                <w:lang w:val="sv-SE"/>
              </w:rPr>
            </w:pPr>
            <w:hyperlink r:id="rId10" w:history="1">
              <w:r w:rsidR="00D60213" w:rsidRPr="00D60213">
                <w:rPr>
                  <w:lang w:val="sv-SE"/>
                </w:rPr>
                <w:t>christine.silfversparre@hankooktire.se</w:t>
              </w:r>
            </w:hyperlink>
          </w:p>
          <w:p w:rsidR="00D60213" w:rsidRPr="00D60213" w:rsidRDefault="00D60213" w:rsidP="00D60213">
            <w:pPr>
              <w:spacing w:line="320" w:lineRule="exact"/>
              <w:rPr>
                <w:b/>
                <w:bCs/>
                <w:sz w:val="21"/>
                <w:szCs w:val="21"/>
                <w:lang w:val="sv-SE"/>
              </w:rPr>
            </w:pPr>
          </w:p>
        </w:tc>
        <w:tc>
          <w:tcPr>
            <w:tcW w:w="1815" w:type="dxa"/>
            <w:shd w:val="clear" w:color="auto" w:fill="F2F2F2"/>
          </w:tcPr>
          <w:p w:rsidR="00D60213" w:rsidRPr="00D60213" w:rsidRDefault="00D60213" w:rsidP="00D60213">
            <w:pPr>
              <w:spacing w:line="320" w:lineRule="exact"/>
              <w:rPr>
                <w:b/>
                <w:bCs/>
                <w:sz w:val="21"/>
                <w:szCs w:val="21"/>
                <w:lang w:val="sv-SE"/>
              </w:rPr>
            </w:pPr>
          </w:p>
        </w:tc>
        <w:tc>
          <w:tcPr>
            <w:tcW w:w="2359" w:type="dxa"/>
            <w:shd w:val="clear" w:color="auto" w:fill="F2F2F2"/>
          </w:tcPr>
          <w:p w:rsidR="00D60213" w:rsidRPr="00D60213" w:rsidRDefault="00D60213" w:rsidP="00D60213">
            <w:pPr>
              <w:spacing w:line="320" w:lineRule="exact"/>
              <w:rPr>
                <w:b/>
                <w:bCs/>
                <w:sz w:val="21"/>
                <w:szCs w:val="21"/>
                <w:lang w:val="sv-SE"/>
              </w:rPr>
            </w:pPr>
          </w:p>
        </w:tc>
        <w:tc>
          <w:tcPr>
            <w:tcW w:w="2360" w:type="dxa"/>
            <w:shd w:val="clear" w:color="auto" w:fill="F2F2F2"/>
          </w:tcPr>
          <w:p w:rsidR="00D60213" w:rsidRPr="00D60213" w:rsidRDefault="00D60213" w:rsidP="00D60213">
            <w:pPr>
              <w:spacing w:line="320" w:lineRule="exact"/>
              <w:rPr>
                <w:b/>
                <w:bCs/>
                <w:sz w:val="21"/>
                <w:szCs w:val="21"/>
                <w:lang w:val="sv-SE"/>
              </w:rPr>
            </w:pPr>
          </w:p>
        </w:tc>
      </w:tr>
      <w:tr w:rsidR="00D60213" w:rsidRPr="001C758F" w:rsidTr="000D612D">
        <w:trPr>
          <w:trHeight w:val="889"/>
        </w:trPr>
        <w:tc>
          <w:tcPr>
            <w:tcW w:w="2903" w:type="dxa"/>
            <w:shd w:val="clear" w:color="auto" w:fill="F2F2F2"/>
          </w:tcPr>
          <w:p w:rsidR="00D60213" w:rsidRPr="00D60213" w:rsidRDefault="00D60213" w:rsidP="00D60213">
            <w:pPr>
              <w:spacing w:line="320" w:lineRule="exact"/>
              <w:rPr>
                <w:b/>
                <w:bCs/>
                <w:sz w:val="21"/>
                <w:szCs w:val="21"/>
                <w:lang w:val="sv-SE"/>
              </w:rPr>
            </w:pPr>
          </w:p>
        </w:tc>
        <w:tc>
          <w:tcPr>
            <w:tcW w:w="1815" w:type="dxa"/>
            <w:shd w:val="clear" w:color="auto" w:fill="F2F2F2"/>
          </w:tcPr>
          <w:p w:rsidR="00D60213" w:rsidRPr="00D60213" w:rsidRDefault="00D60213" w:rsidP="00D60213">
            <w:pPr>
              <w:spacing w:line="320" w:lineRule="exact"/>
              <w:rPr>
                <w:b/>
                <w:bCs/>
                <w:sz w:val="21"/>
                <w:szCs w:val="21"/>
                <w:lang w:val="sv-SE"/>
              </w:rPr>
            </w:pPr>
          </w:p>
        </w:tc>
        <w:tc>
          <w:tcPr>
            <w:tcW w:w="4719" w:type="dxa"/>
            <w:gridSpan w:val="2"/>
            <w:shd w:val="clear" w:color="auto" w:fill="F2F2F2"/>
          </w:tcPr>
          <w:p w:rsidR="00D60213" w:rsidRPr="00D60213" w:rsidRDefault="00D60213" w:rsidP="00D60213">
            <w:pPr>
              <w:spacing w:line="320" w:lineRule="exact"/>
              <w:rPr>
                <w:b/>
                <w:bCs/>
                <w:sz w:val="21"/>
                <w:szCs w:val="21"/>
                <w:lang w:val="sv-SE"/>
              </w:rPr>
            </w:pPr>
          </w:p>
        </w:tc>
      </w:tr>
    </w:tbl>
    <w:p w:rsidR="00206707" w:rsidRPr="00971E37" w:rsidRDefault="00206707" w:rsidP="00D60213">
      <w:pPr>
        <w:spacing w:line="320" w:lineRule="exact"/>
        <w:rPr>
          <w:lang w:val="sv-SE"/>
        </w:rPr>
      </w:pPr>
    </w:p>
    <w:sectPr w:rsidR="00206707" w:rsidRPr="00971E37" w:rsidSect="00795A24">
      <w:headerReference w:type="default" r:id="rId11"/>
      <w:pgSz w:w="11906" w:h="16838"/>
      <w:pgMar w:top="1819"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766" w:rsidRDefault="008C1766">
      <w:r>
        <w:separator/>
      </w:r>
    </w:p>
  </w:endnote>
  <w:endnote w:type="continuationSeparator" w:id="0">
    <w:p w:rsidR="008C1766" w:rsidRDefault="008C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800000AF" w:usb1="40000048" w:usb2="00000000" w:usb3="00000000" w:csb0="00000119" w:csb1="00000000"/>
  </w:font>
  <w:font w:name="Malgun Gothic">
    <w:panose1 w:val="020B0503020000020004"/>
    <w:charset w:val="81"/>
    <w:family w:val="swiss"/>
    <w:pitch w:val="variable"/>
    <w:sig w:usb0="900002AF" w:usb1="0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766" w:rsidRDefault="008C1766">
      <w:r>
        <w:separator/>
      </w:r>
    </w:p>
  </w:footnote>
  <w:footnote w:type="continuationSeparator" w:id="0">
    <w:p w:rsidR="008C1766" w:rsidRDefault="008C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EFF" w:rsidRDefault="00E62FA5">
    <w:pPr>
      <w:pStyle w:val="Kopfzeile"/>
    </w:pPr>
    <w:r w:rsidRPr="00E62FA5">
      <w:rPr>
        <w:noProof/>
        <w:lang w:val="sv-SE" w:eastAsia="sv-SE" w:bidi="ar-SA"/>
      </w:rPr>
      <w:drawing>
        <wp:inline distT="0" distB="0" distL="0" distR="0">
          <wp:extent cx="6120130" cy="894125"/>
          <wp:effectExtent l="0" t="0" r="0" b="1270"/>
          <wp:docPr id="6" name="Grafik 6" descr="C:\Users\HK116\AppData\Local\Microsoft\Windows\Temporary Internet Files\Content.Outlook\90KAD6PQ\HK_sw_letterhead_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6\AppData\Local\Microsoft\Windows\Temporary Internet Files\Content.Outlook\90KAD6PQ\HK_sw_letterhead_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4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5F2"/>
    <w:multiLevelType w:val="multilevel"/>
    <w:tmpl w:val="7B9806F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D7796"/>
    <w:multiLevelType w:val="multilevel"/>
    <w:tmpl w:val="04D84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6F15C0"/>
    <w:multiLevelType w:val="multilevel"/>
    <w:tmpl w:val="382A2836"/>
    <w:lvl w:ilvl="0">
      <w:start w:val="55"/>
      <w:numFmt w:val="bullet"/>
      <w:lvlText w:val="-"/>
      <w:lvlJc w:val="left"/>
      <w:pPr>
        <w:ind w:left="322" w:hanging="360"/>
      </w:pPr>
      <w:rPr>
        <w:rFonts w:ascii="Helvetica" w:hAnsi="Helvetica" w:cs="Helvetica" w:hint="default"/>
        <w:b/>
        <w:sz w:val="26"/>
      </w:rPr>
    </w:lvl>
    <w:lvl w:ilvl="1">
      <w:start w:val="1"/>
      <w:numFmt w:val="bullet"/>
      <w:lvlText w:val="o"/>
      <w:lvlJc w:val="left"/>
      <w:pPr>
        <w:ind w:left="1042" w:hanging="360"/>
      </w:pPr>
      <w:rPr>
        <w:rFonts w:ascii="Courier New" w:hAnsi="Courier New" w:cs="Courier New" w:hint="default"/>
      </w:rPr>
    </w:lvl>
    <w:lvl w:ilvl="2">
      <w:start w:val="1"/>
      <w:numFmt w:val="bullet"/>
      <w:lvlText w:val=""/>
      <w:lvlJc w:val="left"/>
      <w:pPr>
        <w:ind w:left="1762" w:hanging="360"/>
      </w:pPr>
      <w:rPr>
        <w:rFonts w:ascii="Wingdings" w:hAnsi="Wingdings" w:cs="Wingdings" w:hint="default"/>
      </w:rPr>
    </w:lvl>
    <w:lvl w:ilvl="3">
      <w:start w:val="1"/>
      <w:numFmt w:val="bullet"/>
      <w:lvlText w:val=""/>
      <w:lvlJc w:val="left"/>
      <w:pPr>
        <w:ind w:left="2482" w:hanging="360"/>
      </w:pPr>
      <w:rPr>
        <w:rFonts w:ascii="Symbol" w:hAnsi="Symbol" w:cs="Symbol" w:hint="default"/>
      </w:rPr>
    </w:lvl>
    <w:lvl w:ilvl="4">
      <w:start w:val="1"/>
      <w:numFmt w:val="bullet"/>
      <w:lvlText w:val="o"/>
      <w:lvlJc w:val="left"/>
      <w:pPr>
        <w:ind w:left="3202" w:hanging="360"/>
      </w:pPr>
      <w:rPr>
        <w:rFonts w:ascii="Courier New" w:hAnsi="Courier New" w:cs="Courier New" w:hint="default"/>
      </w:rPr>
    </w:lvl>
    <w:lvl w:ilvl="5">
      <w:start w:val="1"/>
      <w:numFmt w:val="bullet"/>
      <w:lvlText w:val=""/>
      <w:lvlJc w:val="left"/>
      <w:pPr>
        <w:ind w:left="3922" w:hanging="360"/>
      </w:pPr>
      <w:rPr>
        <w:rFonts w:ascii="Wingdings" w:hAnsi="Wingdings" w:cs="Wingdings" w:hint="default"/>
      </w:rPr>
    </w:lvl>
    <w:lvl w:ilvl="6">
      <w:start w:val="1"/>
      <w:numFmt w:val="bullet"/>
      <w:lvlText w:val=""/>
      <w:lvlJc w:val="left"/>
      <w:pPr>
        <w:ind w:left="4642" w:hanging="360"/>
      </w:pPr>
      <w:rPr>
        <w:rFonts w:ascii="Symbol" w:hAnsi="Symbol" w:cs="Symbol" w:hint="default"/>
      </w:rPr>
    </w:lvl>
    <w:lvl w:ilvl="7">
      <w:start w:val="1"/>
      <w:numFmt w:val="bullet"/>
      <w:lvlText w:val="o"/>
      <w:lvlJc w:val="left"/>
      <w:pPr>
        <w:ind w:left="5362" w:hanging="360"/>
      </w:pPr>
      <w:rPr>
        <w:rFonts w:ascii="Courier New" w:hAnsi="Courier New" w:cs="Courier New" w:hint="default"/>
      </w:rPr>
    </w:lvl>
    <w:lvl w:ilvl="8">
      <w:start w:val="1"/>
      <w:numFmt w:val="bullet"/>
      <w:lvlText w:val=""/>
      <w:lvlJc w:val="left"/>
      <w:pPr>
        <w:ind w:left="6082"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FF"/>
    <w:rsid w:val="00017FE5"/>
    <w:rsid w:val="00075B02"/>
    <w:rsid w:val="00095792"/>
    <w:rsid w:val="000C22DF"/>
    <w:rsid w:val="001910DC"/>
    <w:rsid w:val="00197D50"/>
    <w:rsid w:val="001C6726"/>
    <w:rsid w:val="001C758F"/>
    <w:rsid w:val="00206707"/>
    <w:rsid w:val="002211B1"/>
    <w:rsid w:val="0025245C"/>
    <w:rsid w:val="002539C3"/>
    <w:rsid w:val="00262061"/>
    <w:rsid w:val="00267578"/>
    <w:rsid w:val="0027702D"/>
    <w:rsid w:val="00282890"/>
    <w:rsid w:val="00285B06"/>
    <w:rsid w:val="002941E6"/>
    <w:rsid w:val="002A6786"/>
    <w:rsid w:val="002E13F2"/>
    <w:rsid w:val="00356E08"/>
    <w:rsid w:val="00385964"/>
    <w:rsid w:val="003A148C"/>
    <w:rsid w:val="0041379F"/>
    <w:rsid w:val="00414734"/>
    <w:rsid w:val="0045155F"/>
    <w:rsid w:val="00487DBD"/>
    <w:rsid w:val="00491155"/>
    <w:rsid w:val="00493FD9"/>
    <w:rsid w:val="004D73C6"/>
    <w:rsid w:val="00506C6E"/>
    <w:rsid w:val="00526581"/>
    <w:rsid w:val="00544973"/>
    <w:rsid w:val="0054651E"/>
    <w:rsid w:val="00560F11"/>
    <w:rsid w:val="00566B39"/>
    <w:rsid w:val="00574570"/>
    <w:rsid w:val="005C0FCD"/>
    <w:rsid w:val="005C4F2C"/>
    <w:rsid w:val="005C5C7E"/>
    <w:rsid w:val="005E554A"/>
    <w:rsid w:val="00653AB5"/>
    <w:rsid w:val="006D3AA6"/>
    <w:rsid w:val="006F0AFB"/>
    <w:rsid w:val="007630A1"/>
    <w:rsid w:val="00795A24"/>
    <w:rsid w:val="007C22D8"/>
    <w:rsid w:val="007C64D8"/>
    <w:rsid w:val="00802490"/>
    <w:rsid w:val="008074C3"/>
    <w:rsid w:val="00832CA4"/>
    <w:rsid w:val="00876107"/>
    <w:rsid w:val="008A0C72"/>
    <w:rsid w:val="008C1766"/>
    <w:rsid w:val="008D7BB4"/>
    <w:rsid w:val="008E1A47"/>
    <w:rsid w:val="00912584"/>
    <w:rsid w:val="00943EFF"/>
    <w:rsid w:val="00965238"/>
    <w:rsid w:val="00971E37"/>
    <w:rsid w:val="009A1525"/>
    <w:rsid w:val="009F07F4"/>
    <w:rsid w:val="00A01ED6"/>
    <w:rsid w:val="00A41392"/>
    <w:rsid w:val="00A43FDC"/>
    <w:rsid w:val="00A447EA"/>
    <w:rsid w:val="00A8696C"/>
    <w:rsid w:val="00A90ABF"/>
    <w:rsid w:val="00A90FFC"/>
    <w:rsid w:val="00A940E9"/>
    <w:rsid w:val="00AA0439"/>
    <w:rsid w:val="00AA07DB"/>
    <w:rsid w:val="00AC1373"/>
    <w:rsid w:val="00AC748C"/>
    <w:rsid w:val="00AD4DFF"/>
    <w:rsid w:val="00AF0172"/>
    <w:rsid w:val="00B05BBF"/>
    <w:rsid w:val="00B476AB"/>
    <w:rsid w:val="00B51917"/>
    <w:rsid w:val="00B950F1"/>
    <w:rsid w:val="00BA5234"/>
    <w:rsid w:val="00BB47F1"/>
    <w:rsid w:val="00BD0A71"/>
    <w:rsid w:val="00BD2406"/>
    <w:rsid w:val="00BD4E63"/>
    <w:rsid w:val="00BE5867"/>
    <w:rsid w:val="00BE6F91"/>
    <w:rsid w:val="00BF5BAB"/>
    <w:rsid w:val="00C165C7"/>
    <w:rsid w:val="00C37176"/>
    <w:rsid w:val="00C57677"/>
    <w:rsid w:val="00C84544"/>
    <w:rsid w:val="00C90A23"/>
    <w:rsid w:val="00CA0ECB"/>
    <w:rsid w:val="00CC4E3E"/>
    <w:rsid w:val="00CD3C9C"/>
    <w:rsid w:val="00D60213"/>
    <w:rsid w:val="00D75157"/>
    <w:rsid w:val="00D83D39"/>
    <w:rsid w:val="00D85616"/>
    <w:rsid w:val="00D968EB"/>
    <w:rsid w:val="00DA4CC7"/>
    <w:rsid w:val="00DB49A5"/>
    <w:rsid w:val="00DC1026"/>
    <w:rsid w:val="00E42CD9"/>
    <w:rsid w:val="00E62FA5"/>
    <w:rsid w:val="00E879CA"/>
    <w:rsid w:val="00EB4062"/>
    <w:rsid w:val="00F06E92"/>
    <w:rsid w:val="00F102D9"/>
    <w:rsid w:val="00F10BE4"/>
    <w:rsid w:val="00F114E6"/>
    <w:rsid w:val="00F937E0"/>
    <w:rsid w:val="00FC01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F38AA"/>
  <w15:docId w15:val="{3CCB6BA7-8509-4779-AE62-394DDC1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9025B6"/>
  </w:style>
  <w:style w:type="character" w:customStyle="1" w:styleId="WW8Num1z1">
    <w:name w:val="WW8Num1z1"/>
    <w:qFormat/>
    <w:rsid w:val="009025B6"/>
  </w:style>
  <w:style w:type="character" w:customStyle="1" w:styleId="WW8Num1z2">
    <w:name w:val="WW8Num1z2"/>
    <w:qFormat/>
    <w:rsid w:val="009025B6"/>
  </w:style>
  <w:style w:type="character" w:customStyle="1" w:styleId="WW8Num1z3">
    <w:name w:val="WW8Num1z3"/>
    <w:qFormat/>
    <w:rsid w:val="009025B6"/>
  </w:style>
  <w:style w:type="character" w:customStyle="1" w:styleId="WW8Num1z4">
    <w:name w:val="WW8Num1z4"/>
    <w:qFormat/>
    <w:rsid w:val="009025B6"/>
  </w:style>
  <w:style w:type="character" w:customStyle="1" w:styleId="WW8Num1z5">
    <w:name w:val="WW8Num1z5"/>
    <w:qFormat/>
    <w:rsid w:val="009025B6"/>
  </w:style>
  <w:style w:type="character" w:customStyle="1" w:styleId="WW8Num1z6">
    <w:name w:val="WW8Num1z6"/>
    <w:qFormat/>
    <w:rsid w:val="009025B6"/>
  </w:style>
  <w:style w:type="character" w:customStyle="1" w:styleId="WW8Num1z7">
    <w:name w:val="WW8Num1z7"/>
    <w:qFormat/>
    <w:rsid w:val="009025B6"/>
  </w:style>
  <w:style w:type="character" w:customStyle="1" w:styleId="WW8Num1z8">
    <w:name w:val="WW8Num1z8"/>
    <w:qFormat/>
    <w:rsid w:val="009025B6"/>
  </w:style>
  <w:style w:type="character" w:customStyle="1" w:styleId="WW8Num2z0">
    <w:name w:val="WW8Num2z0"/>
    <w:qFormat/>
    <w:rsid w:val="009025B6"/>
  </w:style>
  <w:style w:type="character" w:customStyle="1" w:styleId="WW8Num2z1">
    <w:name w:val="WW8Num2z1"/>
    <w:qFormat/>
    <w:rsid w:val="009025B6"/>
  </w:style>
  <w:style w:type="character" w:customStyle="1" w:styleId="WW8Num2z2">
    <w:name w:val="WW8Num2z2"/>
    <w:qFormat/>
    <w:rsid w:val="009025B6"/>
  </w:style>
  <w:style w:type="character" w:customStyle="1" w:styleId="WW8Num2z3">
    <w:name w:val="WW8Num2z3"/>
    <w:qFormat/>
    <w:rsid w:val="009025B6"/>
  </w:style>
  <w:style w:type="character" w:customStyle="1" w:styleId="WW8Num2z4">
    <w:name w:val="WW8Num2z4"/>
    <w:qFormat/>
    <w:rsid w:val="009025B6"/>
  </w:style>
  <w:style w:type="character" w:customStyle="1" w:styleId="WW8Num2z5">
    <w:name w:val="WW8Num2z5"/>
    <w:qFormat/>
    <w:rsid w:val="009025B6"/>
  </w:style>
  <w:style w:type="character" w:customStyle="1" w:styleId="WW8Num2z6">
    <w:name w:val="WW8Num2z6"/>
    <w:qFormat/>
    <w:rsid w:val="009025B6"/>
  </w:style>
  <w:style w:type="character" w:customStyle="1" w:styleId="WW8Num2z7">
    <w:name w:val="WW8Num2z7"/>
    <w:qFormat/>
    <w:rsid w:val="009025B6"/>
  </w:style>
  <w:style w:type="character" w:customStyle="1" w:styleId="WW8Num2z8">
    <w:name w:val="WW8Num2z8"/>
    <w:qFormat/>
    <w:rsid w:val="009025B6"/>
  </w:style>
  <w:style w:type="character" w:customStyle="1" w:styleId="Absatz-Standardschriftart2">
    <w:name w:val="Absatz-Standardschriftart2"/>
    <w:qFormat/>
    <w:rsid w:val="009025B6"/>
  </w:style>
  <w:style w:type="character" w:customStyle="1" w:styleId="Absatz-Standardschriftart1">
    <w:name w:val="Absatz-Standardschriftart1"/>
    <w:qFormat/>
    <w:rsid w:val="009025B6"/>
  </w:style>
  <w:style w:type="character" w:customStyle="1" w:styleId="WW8Num3z0">
    <w:name w:val="WW8Num3z0"/>
    <w:qFormat/>
    <w:rsid w:val="009025B6"/>
  </w:style>
  <w:style w:type="character" w:customStyle="1" w:styleId="WW8Num3z1">
    <w:name w:val="WW8Num3z1"/>
    <w:qFormat/>
    <w:rsid w:val="009025B6"/>
    <w:rPr>
      <w:rFonts w:ascii="Courier New" w:hAnsi="Courier New" w:cs="Courier New"/>
    </w:rPr>
  </w:style>
  <w:style w:type="character" w:customStyle="1" w:styleId="WW8Num3z2">
    <w:name w:val="WW8Num3z2"/>
    <w:qFormat/>
    <w:rsid w:val="009025B6"/>
    <w:rPr>
      <w:rFonts w:ascii="Wingdings" w:hAnsi="Wingdings" w:cs="Wingdings"/>
    </w:rPr>
  </w:style>
  <w:style w:type="character" w:customStyle="1" w:styleId="WW8Num3z3">
    <w:name w:val="WW8Num3z3"/>
    <w:qFormat/>
    <w:rsid w:val="009025B6"/>
    <w:rPr>
      <w:rFonts w:ascii="Symbol" w:hAnsi="Symbol" w:cs="Symbol"/>
    </w:rPr>
  </w:style>
  <w:style w:type="character" w:customStyle="1" w:styleId="WW8Num4z0">
    <w:name w:val="WW8Num4z0"/>
    <w:qFormat/>
    <w:rsid w:val="009025B6"/>
    <w:rPr>
      <w:rFonts w:cs="Times New Roman"/>
    </w:rPr>
  </w:style>
  <w:style w:type="character" w:customStyle="1" w:styleId="WW8Num5z0">
    <w:name w:val="WW8Num5z0"/>
    <w:qFormat/>
    <w:rsid w:val="009025B6"/>
    <w:rPr>
      <w:rFonts w:ascii="Wingdings" w:hAnsi="Wingdings" w:cs="Wingdings"/>
    </w:rPr>
  </w:style>
  <w:style w:type="character" w:customStyle="1" w:styleId="WW8Num6z0">
    <w:name w:val="WW8Num6z0"/>
    <w:qFormat/>
    <w:rsid w:val="009025B6"/>
  </w:style>
  <w:style w:type="character" w:customStyle="1" w:styleId="WW8Num6z1">
    <w:name w:val="WW8Num6z1"/>
    <w:qFormat/>
    <w:rsid w:val="009025B6"/>
  </w:style>
  <w:style w:type="character" w:customStyle="1" w:styleId="WW8Num6z2">
    <w:name w:val="WW8Num6z2"/>
    <w:qFormat/>
    <w:rsid w:val="009025B6"/>
  </w:style>
  <w:style w:type="character" w:customStyle="1" w:styleId="WW8Num6z3">
    <w:name w:val="WW8Num6z3"/>
    <w:qFormat/>
    <w:rsid w:val="009025B6"/>
  </w:style>
  <w:style w:type="character" w:customStyle="1" w:styleId="WW8Num6z4">
    <w:name w:val="WW8Num6z4"/>
    <w:qFormat/>
    <w:rsid w:val="009025B6"/>
  </w:style>
  <w:style w:type="character" w:customStyle="1" w:styleId="WW8Num6z5">
    <w:name w:val="WW8Num6z5"/>
    <w:qFormat/>
    <w:rsid w:val="009025B6"/>
  </w:style>
  <w:style w:type="character" w:customStyle="1" w:styleId="WW8Num6z6">
    <w:name w:val="WW8Num6z6"/>
    <w:qFormat/>
    <w:rsid w:val="009025B6"/>
  </w:style>
  <w:style w:type="character" w:customStyle="1" w:styleId="WW8Num6z7">
    <w:name w:val="WW8Num6z7"/>
    <w:qFormat/>
    <w:rsid w:val="009025B6"/>
  </w:style>
  <w:style w:type="character" w:customStyle="1" w:styleId="WW8Num6z8">
    <w:name w:val="WW8Num6z8"/>
    <w:qFormat/>
    <w:rsid w:val="009025B6"/>
  </w:style>
  <w:style w:type="character" w:customStyle="1" w:styleId="Absatzstandardschriftart1">
    <w:name w:val="Absatzstandardschriftart1"/>
    <w:qFormat/>
    <w:rsid w:val="009025B6"/>
  </w:style>
  <w:style w:type="character" w:customStyle="1" w:styleId="SprechblasentextZeichen">
    <w:name w:val="Sprechblasentext Zeichen"/>
    <w:qFormat/>
    <w:rsid w:val="009025B6"/>
  </w:style>
  <w:style w:type="character" w:customStyle="1" w:styleId="Kommentarzeichen1">
    <w:name w:val="Kommentarzeichen1"/>
    <w:qFormat/>
    <w:rsid w:val="009025B6"/>
    <w:rPr>
      <w:sz w:val="18"/>
      <w:szCs w:val="18"/>
    </w:rPr>
  </w:style>
  <w:style w:type="character" w:customStyle="1" w:styleId="KommentartextZeichen">
    <w:name w:val="Kommentartext Zeichen"/>
    <w:qFormat/>
    <w:rsid w:val="009025B6"/>
  </w:style>
  <w:style w:type="character" w:customStyle="1" w:styleId="KommentarthemaZeichen">
    <w:name w:val="Kommentarthema Zeichen"/>
    <w:qFormat/>
    <w:rsid w:val="009025B6"/>
  </w:style>
  <w:style w:type="character" w:customStyle="1" w:styleId="DatumZeichen">
    <w:name w:val="Datum Zeichen"/>
    <w:qFormat/>
    <w:rsid w:val="009025B6"/>
  </w:style>
  <w:style w:type="character" w:customStyle="1" w:styleId="FuzeileZeichen">
    <w:name w:val="Fußzeile Zeichen"/>
    <w:qFormat/>
    <w:rsid w:val="009025B6"/>
  </w:style>
  <w:style w:type="character" w:customStyle="1" w:styleId="Kommentarzeichen2">
    <w:name w:val="Kommentarzeichen2"/>
    <w:qFormat/>
    <w:rsid w:val="009025B6"/>
    <w:rPr>
      <w:sz w:val="16"/>
      <w:szCs w:val="16"/>
    </w:rPr>
  </w:style>
  <w:style w:type="character" w:customStyle="1" w:styleId="KommentartextZchn">
    <w:name w:val="Kommentartext Zchn"/>
    <w:basedOn w:val="Absatz-Standardschriftart1"/>
    <w:uiPriority w:val="99"/>
    <w:qFormat/>
    <w:rsid w:val="009025B6"/>
  </w:style>
  <w:style w:type="character" w:customStyle="1" w:styleId="Nummerierungszeichen">
    <w:name w:val="Nummerierungszeichen"/>
    <w:qFormat/>
    <w:rsid w:val="009025B6"/>
  </w:style>
  <w:style w:type="character" w:customStyle="1" w:styleId="Internetlink">
    <w:name w:val="Internetlink"/>
    <w:basedOn w:val="Absatz-Standardschriftart"/>
    <w:uiPriority w:val="99"/>
    <w:unhideWhenUsed/>
    <w:rsid w:val="000F728A"/>
    <w:rPr>
      <w:color w:val="0000FF"/>
      <w:u w:val="single"/>
    </w:rPr>
  </w:style>
  <w:style w:type="character" w:customStyle="1" w:styleId="KommentartextZchn1">
    <w:name w:val="Kommentartext Zchn1"/>
    <w:basedOn w:val="Absatz-Standardschriftart"/>
    <w:link w:val="Kommentartext"/>
    <w:uiPriority w:val="99"/>
    <w:semiHidden/>
    <w:qFormat/>
    <w:rsid w:val="001E5860"/>
    <w:rPr>
      <w:color w:val="00000A"/>
      <w:lang w:eastAsia="en-GB"/>
    </w:rPr>
  </w:style>
  <w:style w:type="character" w:customStyle="1" w:styleId="ListLabel1">
    <w:name w:val="ListLabel 1"/>
    <w:qFormat/>
    <w:rsid w:val="00560F11"/>
    <w:rPr>
      <w:rFonts w:eastAsia="Times New Roman" w:cs="Times New Roman"/>
    </w:rPr>
  </w:style>
  <w:style w:type="character" w:customStyle="1" w:styleId="ListLabel2">
    <w:name w:val="ListLabel 2"/>
    <w:qFormat/>
    <w:rsid w:val="00560F11"/>
    <w:rPr>
      <w:rFonts w:cs="Courier New"/>
    </w:rPr>
  </w:style>
  <w:style w:type="character" w:customStyle="1" w:styleId="ListLabel3">
    <w:name w:val="ListLabel 3"/>
    <w:qFormat/>
    <w:rsid w:val="00560F11"/>
    <w:rPr>
      <w:rFonts w:cs="Courier New"/>
    </w:rPr>
  </w:style>
  <w:style w:type="character" w:customStyle="1" w:styleId="ListLabel4">
    <w:name w:val="ListLabel 4"/>
    <w:qFormat/>
    <w:rsid w:val="00560F11"/>
    <w:rPr>
      <w:rFonts w:cs="Courier New"/>
    </w:rPr>
  </w:style>
  <w:style w:type="character" w:customStyle="1" w:styleId="ListLabel5">
    <w:name w:val="ListLabel 5"/>
    <w:qFormat/>
    <w:rsid w:val="00560F11"/>
    <w:rPr>
      <w:rFonts w:eastAsia="Malgun Gothic" w:cs="Times New Roman"/>
    </w:rPr>
  </w:style>
  <w:style w:type="character" w:customStyle="1" w:styleId="ListLabel6">
    <w:name w:val="ListLabel 6"/>
    <w:qFormat/>
    <w:rsid w:val="00560F11"/>
    <w:rPr>
      <w:rFonts w:cs="Courier New"/>
    </w:rPr>
  </w:style>
  <w:style w:type="character" w:customStyle="1" w:styleId="ListLabel7">
    <w:name w:val="ListLabel 7"/>
    <w:qFormat/>
    <w:rsid w:val="00560F11"/>
    <w:rPr>
      <w:rFonts w:cs="Courier New"/>
    </w:rPr>
  </w:style>
  <w:style w:type="character" w:customStyle="1" w:styleId="ListLabel8">
    <w:name w:val="ListLabel 8"/>
    <w:qFormat/>
    <w:rsid w:val="00560F11"/>
    <w:rPr>
      <w:rFonts w:cs="Courier New"/>
    </w:rPr>
  </w:style>
  <w:style w:type="character" w:customStyle="1" w:styleId="ListLabel9">
    <w:name w:val="ListLabel 9"/>
    <w:qFormat/>
    <w:rsid w:val="00560F11"/>
    <w:rPr>
      <w:rFonts w:eastAsia="Times New Roman"/>
      <w:i/>
      <w:sz w:val="18"/>
      <w:szCs w:val="18"/>
      <w:u w:val="single"/>
    </w:rPr>
  </w:style>
  <w:style w:type="character" w:customStyle="1" w:styleId="ListLabel10">
    <w:name w:val="ListLabel 10"/>
    <w:qFormat/>
    <w:rsid w:val="00560F11"/>
    <w:rPr>
      <w:rFonts w:eastAsia="Times New Roman"/>
      <w:i/>
      <w:u w:val="single"/>
    </w:rPr>
  </w:style>
  <w:style w:type="character" w:customStyle="1" w:styleId="ListLabel11">
    <w:name w:val="ListLabel 11"/>
    <w:qFormat/>
    <w:rsid w:val="00560F11"/>
    <w:rPr>
      <w:rFonts w:eastAsia="Times New Roman"/>
      <w:i/>
      <w:u w:val="single"/>
    </w:rPr>
  </w:style>
  <w:style w:type="character" w:customStyle="1" w:styleId="ListLabel12">
    <w:name w:val="ListLabel 12"/>
    <w:qFormat/>
    <w:rsid w:val="00560F11"/>
    <w:rPr>
      <w:sz w:val="20"/>
    </w:rPr>
  </w:style>
  <w:style w:type="character" w:customStyle="1" w:styleId="ListLabel13">
    <w:name w:val="ListLabel 13"/>
    <w:qFormat/>
    <w:rsid w:val="00560F11"/>
    <w:rPr>
      <w:sz w:val="20"/>
    </w:rPr>
  </w:style>
  <w:style w:type="character" w:customStyle="1" w:styleId="ListLabel14">
    <w:name w:val="ListLabel 14"/>
    <w:qFormat/>
    <w:rsid w:val="00560F11"/>
    <w:rPr>
      <w:sz w:val="20"/>
    </w:rPr>
  </w:style>
  <w:style w:type="character" w:customStyle="1" w:styleId="ListLabel15">
    <w:name w:val="ListLabel 15"/>
    <w:qFormat/>
    <w:rsid w:val="00560F11"/>
    <w:rPr>
      <w:sz w:val="20"/>
    </w:rPr>
  </w:style>
  <w:style w:type="character" w:customStyle="1" w:styleId="ListLabel16">
    <w:name w:val="ListLabel 16"/>
    <w:qFormat/>
    <w:rsid w:val="00560F11"/>
    <w:rPr>
      <w:sz w:val="20"/>
    </w:rPr>
  </w:style>
  <w:style w:type="character" w:customStyle="1" w:styleId="ListLabel17">
    <w:name w:val="ListLabel 17"/>
    <w:qFormat/>
    <w:rsid w:val="00560F11"/>
    <w:rPr>
      <w:sz w:val="20"/>
    </w:rPr>
  </w:style>
  <w:style w:type="character" w:customStyle="1" w:styleId="ListLabel18">
    <w:name w:val="ListLabel 18"/>
    <w:qFormat/>
    <w:rsid w:val="00560F11"/>
    <w:rPr>
      <w:sz w:val="20"/>
    </w:rPr>
  </w:style>
  <w:style w:type="character" w:customStyle="1" w:styleId="ListLabel19">
    <w:name w:val="ListLabel 19"/>
    <w:qFormat/>
    <w:rsid w:val="00560F11"/>
    <w:rPr>
      <w:sz w:val="20"/>
    </w:rPr>
  </w:style>
  <w:style w:type="character" w:customStyle="1" w:styleId="ListLabel20">
    <w:name w:val="ListLabel 20"/>
    <w:qFormat/>
    <w:rsid w:val="00560F11"/>
    <w:rPr>
      <w:sz w:val="20"/>
    </w:rPr>
  </w:style>
  <w:style w:type="character" w:customStyle="1" w:styleId="ListLabel21">
    <w:name w:val="ListLabel 21"/>
    <w:qFormat/>
    <w:rsid w:val="00560F11"/>
    <w:rPr>
      <w:sz w:val="20"/>
    </w:rPr>
  </w:style>
  <w:style w:type="character" w:customStyle="1" w:styleId="ListLabel22">
    <w:name w:val="ListLabel 22"/>
    <w:qFormat/>
    <w:rsid w:val="00560F11"/>
    <w:rPr>
      <w:sz w:val="20"/>
    </w:rPr>
  </w:style>
  <w:style w:type="character" w:customStyle="1" w:styleId="ListLabel23">
    <w:name w:val="ListLabel 23"/>
    <w:qFormat/>
    <w:rsid w:val="00560F11"/>
    <w:rPr>
      <w:sz w:val="20"/>
    </w:rPr>
  </w:style>
  <w:style w:type="character" w:customStyle="1" w:styleId="ListLabel24">
    <w:name w:val="ListLabel 24"/>
    <w:qFormat/>
    <w:rsid w:val="00560F11"/>
    <w:rPr>
      <w:sz w:val="20"/>
    </w:rPr>
  </w:style>
  <w:style w:type="character" w:customStyle="1" w:styleId="ListLabel25">
    <w:name w:val="ListLabel 25"/>
    <w:qFormat/>
    <w:rsid w:val="00560F11"/>
    <w:rPr>
      <w:sz w:val="20"/>
    </w:rPr>
  </w:style>
  <w:style w:type="character" w:customStyle="1" w:styleId="ListLabel26">
    <w:name w:val="ListLabel 26"/>
    <w:qFormat/>
    <w:rsid w:val="00560F11"/>
    <w:rPr>
      <w:sz w:val="20"/>
    </w:rPr>
  </w:style>
  <w:style w:type="character" w:customStyle="1" w:styleId="ListLabel27">
    <w:name w:val="ListLabel 27"/>
    <w:qFormat/>
    <w:rsid w:val="00560F11"/>
    <w:rPr>
      <w:sz w:val="20"/>
    </w:rPr>
  </w:style>
  <w:style w:type="character" w:customStyle="1" w:styleId="ListLabel28">
    <w:name w:val="ListLabel 28"/>
    <w:qFormat/>
    <w:rsid w:val="00560F11"/>
    <w:rPr>
      <w:sz w:val="20"/>
    </w:rPr>
  </w:style>
  <w:style w:type="character" w:customStyle="1" w:styleId="ListLabel29">
    <w:name w:val="ListLabel 29"/>
    <w:qFormat/>
    <w:rsid w:val="00560F11"/>
    <w:rPr>
      <w:sz w:val="20"/>
    </w:rPr>
  </w:style>
  <w:style w:type="character" w:customStyle="1" w:styleId="ListLabel30">
    <w:name w:val="ListLabel 30"/>
    <w:qFormat/>
    <w:rsid w:val="00560F11"/>
    <w:rPr>
      <w:sz w:val="20"/>
    </w:rPr>
  </w:style>
  <w:style w:type="character" w:customStyle="1" w:styleId="ListLabel31">
    <w:name w:val="ListLabel 31"/>
    <w:qFormat/>
    <w:rsid w:val="00560F11"/>
    <w:rPr>
      <w:sz w:val="20"/>
    </w:rPr>
  </w:style>
  <w:style w:type="character" w:customStyle="1" w:styleId="ListLabel32">
    <w:name w:val="ListLabel 32"/>
    <w:qFormat/>
    <w:rsid w:val="00560F11"/>
    <w:rPr>
      <w:sz w:val="20"/>
    </w:rPr>
  </w:style>
  <w:style w:type="character" w:customStyle="1" w:styleId="ListLabel33">
    <w:name w:val="ListLabel 33"/>
    <w:qFormat/>
    <w:rsid w:val="00560F11"/>
    <w:rPr>
      <w:sz w:val="20"/>
    </w:rPr>
  </w:style>
  <w:style w:type="character" w:customStyle="1" w:styleId="ListLabel34">
    <w:name w:val="ListLabel 34"/>
    <w:qFormat/>
    <w:rsid w:val="00560F11"/>
    <w:rPr>
      <w:sz w:val="20"/>
    </w:rPr>
  </w:style>
  <w:style w:type="character" w:customStyle="1" w:styleId="ListLabel35">
    <w:name w:val="ListLabel 35"/>
    <w:qFormat/>
    <w:rsid w:val="00560F11"/>
    <w:rPr>
      <w:sz w:val="20"/>
    </w:rPr>
  </w:style>
  <w:style w:type="character" w:customStyle="1" w:styleId="ListLabel36">
    <w:name w:val="ListLabel 36"/>
    <w:qFormat/>
    <w:rsid w:val="00560F11"/>
    <w:rPr>
      <w:sz w:val="20"/>
    </w:rPr>
  </w:style>
  <w:style w:type="character" w:customStyle="1" w:styleId="ListLabel37">
    <w:name w:val="ListLabel 37"/>
    <w:qFormat/>
    <w:rsid w:val="00560F11"/>
    <w:rPr>
      <w:sz w:val="20"/>
    </w:rPr>
  </w:style>
  <w:style w:type="character" w:customStyle="1" w:styleId="ListLabel38">
    <w:name w:val="ListLabel 38"/>
    <w:qFormat/>
    <w:rsid w:val="00560F11"/>
    <w:rPr>
      <w:sz w:val="20"/>
    </w:rPr>
  </w:style>
  <w:style w:type="character" w:customStyle="1" w:styleId="ListLabel39">
    <w:name w:val="ListLabel 39"/>
    <w:qFormat/>
    <w:rsid w:val="00560F11"/>
    <w:rPr>
      <w:sz w:val="20"/>
    </w:rPr>
  </w:style>
  <w:style w:type="character" w:customStyle="1" w:styleId="ListLabel40">
    <w:name w:val="ListLabel 40"/>
    <w:qFormat/>
    <w:rsid w:val="00560F11"/>
    <w:rPr>
      <w:sz w:val="20"/>
    </w:rPr>
  </w:style>
  <w:style w:type="character" w:customStyle="1" w:styleId="ListLabel41">
    <w:name w:val="ListLabel 41"/>
    <w:qFormat/>
    <w:rsid w:val="00560F11"/>
    <w:rPr>
      <w:sz w:val="20"/>
    </w:rPr>
  </w:style>
  <w:style w:type="character" w:customStyle="1" w:styleId="ListLabel42">
    <w:name w:val="ListLabel 42"/>
    <w:qFormat/>
    <w:rsid w:val="00560F11"/>
    <w:rPr>
      <w:sz w:val="20"/>
    </w:rPr>
  </w:style>
  <w:style w:type="character" w:customStyle="1" w:styleId="ListLabel43">
    <w:name w:val="ListLabel 43"/>
    <w:qFormat/>
    <w:rsid w:val="00560F11"/>
    <w:rPr>
      <w:sz w:val="20"/>
    </w:rPr>
  </w:style>
  <w:style w:type="character" w:customStyle="1" w:styleId="ListLabel44">
    <w:name w:val="ListLabel 44"/>
    <w:qFormat/>
    <w:rsid w:val="00560F11"/>
    <w:rPr>
      <w:sz w:val="20"/>
    </w:rPr>
  </w:style>
  <w:style w:type="character" w:customStyle="1" w:styleId="ListLabel45">
    <w:name w:val="ListLabel 45"/>
    <w:qFormat/>
    <w:rsid w:val="00560F11"/>
    <w:rPr>
      <w:sz w:val="20"/>
    </w:rPr>
  </w:style>
  <w:style w:type="character" w:customStyle="1" w:styleId="ListLabel46">
    <w:name w:val="ListLabel 46"/>
    <w:qFormat/>
    <w:rsid w:val="00560F11"/>
    <w:rPr>
      <w:sz w:val="20"/>
    </w:rPr>
  </w:style>
  <w:style w:type="character" w:customStyle="1" w:styleId="ListLabel47">
    <w:name w:val="ListLabel 47"/>
    <w:qFormat/>
    <w:rsid w:val="00560F11"/>
    <w:rPr>
      <w:sz w:val="20"/>
    </w:rPr>
  </w:style>
  <w:style w:type="character" w:customStyle="1" w:styleId="ListLabel48">
    <w:name w:val="ListLabel 48"/>
    <w:qFormat/>
    <w:rsid w:val="00560F11"/>
    <w:rPr>
      <w:rFonts w:eastAsia="Times New Roman" w:cs="Arial"/>
    </w:rPr>
  </w:style>
  <w:style w:type="character" w:customStyle="1" w:styleId="ListLabel49">
    <w:name w:val="ListLabel 49"/>
    <w:qFormat/>
    <w:rsid w:val="00560F11"/>
    <w:rPr>
      <w:rFonts w:cs="Courier New"/>
    </w:rPr>
  </w:style>
  <w:style w:type="character" w:customStyle="1" w:styleId="ListLabel50">
    <w:name w:val="ListLabel 50"/>
    <w:qFormat/>
    <w:rsid w:val="00560F11"/>
    <w:rPr>
      <w:rFonts w:cs="Courier New"/>
    </w:rPr>
  </w:style>
  <w:style w:type="character" w:customStyle="1" w:styleId="ListLabel51">
    <w:name w:val="ListLabel 51"/>
    <w:qFormat/>
    <w:rsid w:val="00560F11"/>
    <w:rPr>
      <w:rFonts w:cs="Courier New"/>
    </w:rPr>
  </w:style>
  <w:style w:type="character" w:customStyle="1" w:styleId="ListLabel52">
    <w:name w:val="ListLabel 52"/>
    <w:qFormat/>
    <w:rsid w:val="00560F11"/>
    <w:rPr>
      <w:rFonts w:eastAsia="Times New Roman" w:cs="Arial"/>
    </w:rPr>
  </w:style>
  <w:style w:type="character" w:customStyle="1" w:styleId="ListLabel53">
    <w:name w:val="ListLabel 53"/>
    <w:qFormat/>
    <w:rsid w:val="00560F11"/>
    <w:rPr>
      <w:rFonts w:cs="Courier New"/>
    </w:rPr>
  </w:style>
  <w:style w:type="character" w:customStyle="1" w:styleId="ListLabel54">
    <w:name w:val="ListLabel 54"/>
    <w:qFormat/>
    <w:rsid w:val="00560F11"/>
    <w:rPr>
      <w:rFonts w:cs="Courier New"/>
    </w:rPr>
  </w:style>
  <w:style w:type="character" w:customStyle="1" w:styleId="ListLabel55">
    <w:name w:val="ListLabel 55"/>
    <w:qFormat/>
    <w:rsid w:val="00560F11"/>
    <w:rPr>
      <w:rFonts w:cs="Courier New"/>
    </w:rPr>
  </w:style>
  <w:style w:type="character" w:customStyle="1" w:styleId="ListLabel56">
    <w:name w:val="ListLabel 56"/>
    <w:qFormat/>
    <w:rsid w:val="00560F11"/>
    <w:rPr>
      <w:rFonts w:eastAsia="Times New Roman" w:cs="Arial"/>
    </w:rPr>
  </w:style>
  <w:style w:type="character" w:customStyle="1" w:styleId="ListLabel57">
    <w:name w:val="ListLabel 57"/>
    <w:qFormat/>
    <w:rsid w:val="00560F11"/>
    <w:rPr>
      <w:rFonts w:cs="Courier New"/>
    </w:rPr>
  </w:style>
  <w:style w:type="character" w:customStyle="1" w:styleId="ListLabel58">
    <w:name w:val="ListLabel 58"/>
    <w:qFormat/>
    <w:rsid w:val="00560F11"/>
    <w:rPr>
      <w:rFonts w:cs="Courier New"/>
    </w:rPr>
  </w:style>
  <w:style w:type="character" w:customStyle="1" w:styleId="ListLabel59">
    <w:name w:val="ListLabel 59"/>
    <w:qFormat/>
    <w:rsid w:val="00560F11"/>
    <w:rPr>
      <w:rFonts w:cs="Courier New"/>
    </w:rPr>
  </w:style>
  <w:style w:type="character" w:customStyle="1" w:styleId="ListLabel60">
    <w:name w:val="ListLabel 60"/>
    <w:qFormat/>
    <w:rsid w:val="00560F11"/>
    <w:rPr>
      <w:rFonts w:ascii="Arial" w:eastAsia="Times New Roman" w:hAnsi="Arial" w:cs="Arial"/>
      <w:b/>
      <w:sz w:val="18"/>
    </w:rPr>
  </w:style>
  <w:style w:type="character" w:customStyle="1" w:styleId="ListLabel61">
    <w:name w:val="ListLabel 61"/>
    <w:qFormat/>
    <w:rsid w:val="00560F11"/>
    <w:rPr>
      <w:rFonts w:cs="Courier New"/>
    </w:rPr>
  </w:style>
  <w:style w:type="character" w:customStyle="1" w:styleId="ListLabel62">
    <w:name w:val="ListLabel 62"/>
    <w:qFormat/>
    <w:rsid w:val="00560F11"/>
    <w:rPr>
      <w:rFonts w:cs="Courier New"/>
    </w:rPr>
  </w:style>
  <w:style w:type="character" w:customStyle="1" w:styleId="ListLabel63">
    <w:name w:val="ListLabel 63"/>
    <w:qFormat/>
    <w:rsid w:val="00560F11"/>
    <w:rPr>
      <w:rFonts w:cs="Courier New"/>
    </w:rPr>
  </w:style>
  <w:style w:type="character" w:customStyle="1" w:styleId="ListLabel64">
    <w:name w:val="ListLabel 64"/>
    <w:qFormat/>
    <w:rsid w:val="00560F11"/>
    <w:rPr>
      <w:rFonts w:ascii="Helvetica" w:eastAsia="Times New Roman" w:hAnsi="Helvetica" w:cs="Helvetica"/>
      <w:b/>
      <w:sz w:val="26"/>
    </w:rPr>
  </w:style>
  <w:style w:type="character" w:customStyle="1" w:styleId="ListLabel65">
    <w:name w:val="ListLabel 65"/>
    <w:qFormat/>
    <w:rsid w:val="00560F11"/>
    <w:rPr>
      <w:rFonts w:cs="Courier New"/>
    </w:rPr>
  </w:style>
  <w:style w:type="character" w:customStyle="1" w:styleId="ListLabel66">
    <w:name w:val="ListLabel 66"/>
    <w:qFormat/>
    <w:rsid w:val="00560F11"/>
    <w:rPr>
      <w:rFonts w:cs="Courier New"/>
    </w:rPr>
  </w:style>
  <w:style w:type="character" w:customStyle="1" w:styleId="ListLabel67">
    <w:name w:val="ListLabel 67"/>
    <w:qFormat/>
    <w:rsid w:val="00560F11"/>
    <w:rPr>
      <w:rFonts w:cs="Courier New"/>
    </w:rPr>
  </w:style>
  <w:style w:type="paragraph" w:customStyle="1" w:styleId="berschrift">
    <w:name w:val="Überschrift"/>
    <w:basedOn w:val="Standard"/>
    <w:next w:val="Textkrper"/>
    <w:qFormat/>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qFormat/>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qFormat/>
    <w:rsid w:val="009025B6"/>
  </w:style>
  <w:style w:type="paragraph" w:customStyle="1" w:styleId="Kommentartext1">
    <w:name w:val="Kommentartext1"/>
    <w:basedOn w:val="Standard"/>
    <w:qFormat/>
    <w:rsid w:val="009025B6"/>
    <w:pPr>
      <w:jc w:val="left"/>
    </w:pPr>
  </w:style>
  <w:style w:type="paragraph" w:styleId="Kommentarthema">
    <w:name w:val="annotation subject"/>
    <w:basedOn w:val="Kommentartext1"/>
    <w:next w:val="Kommentartext1"/>
    <w:qFormat/>
    <w:rsid w:val="009025B6"/>
    <w:rPr>
      <w:b/>
      <w:bCs/>
    </w:rPr>
  </w:style>
  <w:style w:type="paragraph" w:customStyle="1" w:styleId="Datum1">
    <w:name w:val="Datum1"/>
    <w:basedOn w:val="Standard"/>
    <w:next w:val="Standard"/>
    <w:qFormat/>
    <w:rsid w:val="009025B6"/>
  </w:style>
  <w:style w:type="paragraph" w:customStyle="1" w:styleId="TabellenInhalt">
    <w:name w:val="Tabellen Inhalt"/>
    <w:basedOn w:val="Standard"/>
    <w:qFormat/>
    <w:rsid w:val="009025B6"/>
    <w:pPr>
      <w:suppressLineNumbers/>
    </w:pPr>
  </w:style>
  <w:style w:type="paragraph" w:customStyle="1" w:styleId="Tabellenberschrift">
    <w:name w:val="Tabellen Überschrift"/>
    <w:basedOn w:val="TabellenInhalt"/>
    <w:qFormat/>
    <w:rsid w:val="009025B6"/>
    <w:pPr>
      <w:jc w:val="center"/>
    </w:pPr>
    <w:rPr>
      <w:b/>
      <w:bCs/>
    </w:rPr>
  </w:style>
  <w:style w:type="paragraph" w:customStyle="1" w:styleId="Kommentartext2">
    <w:name w:val="Kommentartext2"/>
    <w:basedOn w:val="Standard"/>
    <w:qFormat/>
    <w:rsid w:val="009025B6"/>
  </w:style>
  <w:style w:type="paragraph" w:styleId="Listenabsatz">
    <w:name w:val="List Paragraph"/>
    <w:basedOn w:val="Standard"/>
    <w:uiPriority w:val="34"/>
    <w:qFormat/>
    <w:rsid w:val="00CE77F7"/>
    <w:pPr>
      <w:ind w:left="720"/>
      <w:contextualSpacing/>
    </w:pPr>
  </w:style>
  <w:style w:type="paragraph" w:styleId="Kommentartext">
    <w:name w:val="annotation text"/>
    <w:basedOn w:val="Standard"/>
    <w:link w:val="KommentartextZchn1"/>
    <w:uiPriority w:val="99"/>
    <w:semiHidden/>
    <w:unhideWhenUsed/>
    <w:qFormat/>
    <w:rsid w:val="001E5860"/>
  </w:style>
  <w:style w:type="paragraph" w:customStyle="1" w:styleId="Rahmeninhalt">
    <w:name w:val="Rahmeninhalt"/>
    <w:basedOn w:val="Standard"/>
    <w:qFormat/>
    <w:rsid w:val="00560F1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06707"/>
    <w:rPr>
      <w:rFonts w:cs="Times New Roman"/>
      <w:color w:val="0000FF"/>
      <w:u w:val="single"/>
    </w:rPr>
  </w:style>
  <w:style w:type="table" w:customStyle="1" w:styleId="TableGrid1">
    <w:name w:val="Table Grid1"/>
    <w:basedOn w:val="NormaleTabelle"/>
    <w:next w:val="Tabellenraster"/>
    <w:rsid w:val="00A43FDC"/>
    <w:rPr>
      <w:rFonts w:ascii="Calibri" w:eastAsia="Calibri" w:hAnsi="Calibr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5188">
      <w:bodyDiv w:val="1"/>
      <w:marLeft w:val="0"/>
      <w:marRight w:val="0"/>
      <w:marTop w:val="0"/>
      <w:marBottom w:val="0"/>
      <w:divBdr>
        <w:top w:val="none" w:sz="0" w:space="0" w:color="auto"/>
        <w:left w:val="none" w:sz="0" w:space="0" w:color="auto"/>
        <w:bottom w:val="none" w:sz="0" w:space="0" w:color="auto"/>
        <w:right w:val="none" w:sz="0" w:space="0" w:color="auto"/>
      </w:divBdr>
    </w:div>
    <w:div w:id="892738152">
      <w:bodyDiv w:val="1"/>
      <w:marLeft w:val="0"/>
      <w:marRight w:val="0"/>
      <w:marTop w:val="0"/>
      <w:marBottom w:val="0"/>
      <w:divBdr>
        <w:top w:val="none" w:sz="0" w:space="0" w:color="auto"/>
        <w:left w:val="none" w:sz="0" w:space="0" w:color="auto"/>
        <w:bottom w:val="none" w:sz="0" w:space="0" w:color="auto"/>
        <w:right w:val="none" w:sz="0" w:space="0" w:color="auto"/>
      </w:divBdr>
    </w:div>
    <w:div w:id="1008406854">
      <w:bodyDiv w:val="1"/>
      <w:marLeft w:val="0"/>
      <w:marRight w:val="0"/>
      <w:marTop w:val="0"/>
      <w:marBottom w:val="0"/>
      <w:divBdr>
        <w:top w:val="none" w:sz="0" w:space="0" w:color="auto"/>
        <w:left w:val="none" w:sz="0" w:space="0" w:color="auto"/>
        <w:bottom w:val="none" w:sz="0" w:space="0" w:color="auto"/>
        <w:right w:val="none" w:sz="0" w:space="0" w:color="auto"/>
      </w:divBdr>
    </w:div>
    <w:div w:id="1755348906">
      <w:bodyDiv w:val="1"/>
      <w:marLeft w:val="0"/>
      <w:marRight w:val="0"/>
      <w:marTop w:val="0"/>
      <w:marBottom w:val="0"/>
      <w:divBdr>
        <w:top w:val="none" w:sz="0" w:space="0" w:color="auto"/>
        <w:left w:val="none" w:sz="0" w:space="0" w:color="auto"/>
        <w:bottom w:val="none" w:sz="0" w:space="0" w:color="auto"/>
        <w:right w:val="none" w:sz="0" w:space="0" w:color="auto"/>
      </w:divBdr>
    </w:div>
    <w:div w:id="1816483435">
      <w:bodyDiv w:val="1"/>
      <w:marLeft w:val="0"/>
      <w:marRight w:val="0"/>
      <w:marTop w:val="0"/>
      <w:marBottom w:val="0"/>
      <w:divBdr>
        <w:top w:val="none" w:sz="0" w:space="0" w:color="auto"/>
        <w:left w:val="none" w:sz="0" w:space="0" w:color="auto"/>
        <w:bottom w:val="none" w:sz="0" w:space="0" w:color="auto"/>
        <w:right w:val="none" w:sz="0" w:space="0" w:color="auto"/>
      </w:divBdr>
    </w:div>
    <w:div w:id="208772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silfversparre@hankooktire.s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C1FD1-022A-4E1D-AC11-E8744100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5187</Characters>
  <Application>Microsoft Office Word</Application>
  <DocSecurity>0</DocSecurity>
  <Lines>43</Lines>
  <Paragraphs>11</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날 짜</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 Marketing mgr</dc:creator>
  <cp:keywords/>
  <dc:description/>
  <cp:lastModifiedBy>Andreas Lubitz</cp:lastModifiedBy>
  <cp:revision>3</cp:revision>
  <cp:lastPrinted>2017-11-17T13:17:00Z</cp:lastPrinted>
  <dcterms:created xsi:type="dcterms:W3CDTF">2019-02-15T11:42:00Z</dcterms:created>
  <dcterms:modified xsi:type="dcterms:W3CDTF">2019-02-15T11:55:00Z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