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11DA" w14:textId="77777777" w:rsidR="002A77EA" w:rsidRDefault="0093624E"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Hankook Tire publiceert het financiële resultaat</w:t>
      </w:r>
    </w:p>
    <w:p w14:paraId="7E33B521" w14:textId="192EA081" w:rsidR="002E676C" w:rsidRPr="00B737A9" w:rsidRDefault="00B737A9"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over het tweede kwartaal van 2018</w:t>
      </w:r>
    </w:p>
    <w:p w14:paraId="20B8AA0D" w14:textId="77777777" w:rsidR="002E676C" w:rsidRPr="00B737A9" w:rsidRDefault="002E676C" w:rsidP="002E676C">
      <w:pPr>
        <w:snapToGrid w:val="0"/>
        <w:ind w:rightChars="-15" w:right="-30"/>
        <w:jc w:val="center"/>
        <w:rPr>
          <w:rFonts w:ascii="Arial" w:eastAsia="Dotum" w:hAnsi="Arial" w:cs="Arial"/>
          <w:b/>
          <w:color w:val="ED7D31"/>
          <w:sz w:val="32"/>
          <w:szCs w:val="32"/>
          <w:lang w:val="de-DE"/>
        </w:rPr>
      </w:pPr>
    </w:p>
    <w:p w14:paraId="7C27D48E" w14:textId="30040BA8" w:rsidR="00B05F6F" w:rsidRPr="00B86B74"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b/>
          <w:color w:val="000000" w:themeColor="text1"/>
          <w:sz w:val="22"/>
          <w:szCs w:val="22"/>
        </w:rPr>
        <w:t>Hankook Tire realiseerde in het tweede kwartaal van 2018 een omzetstijging van 2,3 procent ten opzichte van dezelfde periode vorig jaar. Daar droegen vooral de groeiende omzetten in de kernmarkten Europa en China en een stabiele groei bij de af fabriek gemonteerde banden aan bij. De omzet</w:t>
      </w:r>
      <w:r w:rsidR="00DC7345">
        <w:rPr>
          <w:rFonts w:ascii="Times New Roman"/>
          <w:b/>
          <w:color w:val="000000" w:themeColor="text1"/>
          <w:sz w:val="22"/>
          <w:szCs w:val="22"/>
        </w:rPr>
        <w:t xml:space="preserve"> op banden vanaf 17 inch </w:t>
      </w:r>
      <w:r>
        <w:rPr>
          <w:rFonts w:ascii="Times New Roman"/>
          <w:b/>
          <w:color w:val="000000" w:themeColor="text1"/>
          <w:sz w:val="22"/>
          <w:szCs w:val="22"/>
        </w:rPr>
        <w:t>maakten 52,1 procent van de totale omzet voor personenautobanden uit. In vergelijking met dezelfde periode vorig jaar betekent dit een stijging van ca. 3,5 procent. Daarmee versterkt Hankook haar positie als premium-merk.</w:t>
      </w:r>
    </w:p>
    <w:p w14:paraId="1F1234B6" w14:textId="77777777" w:rsidR="0093624E" w:rsidRPr="00B86B74"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de-DE"/>
        </w:rPr>
      </w:pPr>
    </w:p>
    <w:p w14:paraId="187CFDF7" w14:textId="4CC201C6" w:rsidR="0093624E" w:rsidRPr="008349FD" w:rsidRDefault="00C019F2" w:rsidP="0093624E">
      <w:pPr>
        <w:wordWrap/>
        <w:snapToGrid w:val="0"/>
        <w:spacing w:line="276" w:lineRule="auto"/>
        <w:ind w:left="1" w:rightChars="56" w:right="112" w:hanging="1"/>
        <w:rPr>
          <w:rFonts w:ascii="Times New Roman"/>
          <w:sz w:val="21"/>
          <w:szCs w:val="21"/>
        </w:rPr>
      </w:pPr>
      <w:r>
        <w:rPr>
          <w:rFonts w:ascii="Times New Roman"/>
          <w:b/>
          <w:i/>
          <w:sz w:val="21"/>
          <w:szCs w:val="21"/>
        </w:rPr>
        <w:t xml:space="preserve">Seoul, Korea/Neu-Isenburg, Duitsland, </w:t>
      </w:r>
      <w:r w:rsidR="006D14A6">
        <w:rPr>
          <w:rFonts w:ascii="Times New Roman"/>
          <w:b/>
          <w:i/>
          <w:sz w:val="21"/>
          <w:szCs w:val="21"/>
        </w:rPr>
        <w:t>10</w:t>
      </w:r>
      <w:r>
        <w:rPr>
          <w:rFonts w:ascii="Times New Roman"/>
          <w:b/>
          <w:i/>
          <w:sz w:val="21"/>
          <w:szCs w:val="21"/>
        </w:rPr>
        <w:t xml:space="preserve"> augustus 2018 </w:t>
      </w:r>
      <w:r>
        <w:rPr>
          <w:rFonts w:ascii="Times New Roman"/>
          <w:sz w:val="21"/>
          <w:szCs w:val="21"/>
        </w:rPr>
        <w:t>– Premium-bandenfabrikant Hankook Tire maakte de financiële resultaten voor het tweede kwartaal van 2018 bekend. Het bedrijf realiseerde in deze periode een wereldwijde omzet van 1,706 miljard KRW (omgerekend ongeveer 1,325 miljard Euro) en een bedrijfsresultaat van 183,2 miljard KRW (omgerekend ca. 142,4 miljoen Euro).</w:t>
      </w:r>
    </w:p>
    <w:p w14:paraId="0E27AA06" w14:textId="77777777" w:rsidR="0093624E" w:rsidRPr="008349FD" w:rsidRDefault="0093624E" w:rsidP="0093624E">
      <w:pPr>
        <w:wordWrap/>
        <w:snapToGrid w:val="0"/>
        <w:spacing w:line="276" w:lineRule="auto"/>
        <w:ind w:left="1" w:rightChars="56" w:right="112" w:hanging="1"/>
        <w:rPr>
          <w:rFonts w:ascii="Times New Roman"/>
          <w:sz w:val="21"/>
          <w:szCs w:val="21"/>
          <w:lang w:val="de-DE"/>
        </w:rPr>
      </w:pPr>
    </w:p>
    <w:p w14:paraId="22B271FC" w14:textId="7C187068" w:rsidR="0093624E" w:rsidRPr="0082518E" w:rsidRDefault="008349FD"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Hankook Tire realiseerde een omzetstijging van ca. 2,3 procent ten opzichte van dezelfde periode vorig jaar. De omzetgroei komt vooral voor rekening van de uitgebalanceerde groei in regio’s als Europa, China en USA, evenals de uitbreiding van af fabriek gemonteerde banden. De </w:t>
      </w:r>
      <w:r w:rsidR="00DC7345">
        <w:rPr>
          <w:rFonts w:ascii="Times New Roman"/>
          <w:sz w:val="21"/>
          <w:szCs w:val="21"/>
        </w:rPr>
        <w:t xml:space="preserve">afzet op banden </w:t>
      </w:r>
      <w:r>
        <w:rPr>
          <w:rFonts w:ascii="Times New Roman"/>
          <w:sz w:val="21"/>
          <w:szCs w:val="21"/>
        </w:rPr>
        <w:t>vanaf 17 inch nam in vergelijking met dezelfde periode vorig jaar toe met 3,5 procent en bereikte daarmee een aandeel van 52,1 procent van de totale omzet voor personenautobanden.</w:t>
      </w:r>
    </w:p>
    <w:p w14:paraId="32CBA72A" w14:textId="77777777" w:rsidR="0093624E" w:rsidRPr="0082518E" w:rsidRDefault="0093624E" w:rsidP="0093624E">
      <w:pPr>
        <w:wordWrap/>
        <w:snapToGrid w:val="0"/>
        <w:spacing w:line="276" w:lineRule="auto"/>
        <w:ind w:left="1" w:rightChars="56" w:right="112" w:hanging="1"/>
        <w:rPr>
          <w:rFonts w:ascii="Times New Roman"/>
          <w:sz w:val="21"/>
          <w:szCs w:val="21"/>
          <w:lang w:val="de-DE"/>
        </w:rPr>
      </w:pPr>
    </w:p>
    <w:p w14:paraId="49D8CF33" w14:textId="44A1166A" w:rsidR="0093624E" w:rsidRPr="007A4725" w:rsidRDefault="00032C16" w:rsidP="0093624E">
      <w:pPr>
        <w:wordWrap/>
        <w:snapToGrid w:val="0"/>
        <w:spacing w:line="276" w:lineRule="auto"/>
        <w:ind w:left="1" w:rightChars="56" w:right="112" w:hanging="1"/>
        <w:rPr>
          <w:rFonts w:ascii="Times New Roman"/>
          <w:sz w:val="21"/>
          <w:szCs w:val="21"/>
        </w:rPr>
      </w:pPr>
      <w:r>
        <w:rPr>
          <w:rFonts w:ascii="Times New Roman"/>
          <w:sz w:val="21"/>
          <w:szCs w:val="21"/>
        </w:rPr>
        <w:t>Het resultaat van Hankook wordt vooral gedragen door de groei in de premium-handel voor af fabriek gemonteerde banden en stabiele omzetten in vooral Europa en China. Het bedrijfsresultaat daalde in vergelijking met dezelfde periode vorig jaar met 10 procent, vooral op grond van de kosten voor de inbedrijfstelling van de Amerikaanse fabriek in Tennessee en een aangescherpte concurrentie op de Koreaanse markt.</w:t>
      </w:r>
    </w:p>
    <w:p w14:paraId="1D91A24F" w14:textId="77777777" w:rsidR="0093624E" w:rsidRPr="007A4725" w:rsidRDefault="0093624E" w:rsidP="0093624E">
      <w:pPr>
        <w:wordWrap/>
        <w:snapToGrid w:val="0"/>
        <w:spacing w:line="276" w:lineRule="auto"/>
        <w:ind w:left="1" w:rightChars="56" w:right="112" w:hanging="1"/>
        <w:rPr>
          <w:rFonts w:ascii="Times New Roman"/>
          <w:sz w:val="21"/>
          <w:szCs w:val="21"/>
          <w:lang w:val="de-DE"/>
        </w:rPr>
      </w:pPr>
    </w:p>
    <w:p w14:paraId="770C6ED0" w14:textId="2E4CAC10" w:rsidR="00692EA8" w:rsidRPr="00563704" w:rsidRDefault="005E44EF"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Met concurrerender premium-productlijnen wil Hankook Tire de opstap naar een wereldwijd premium-merk bespoedigen. Daarvoor breidt de bandenfabrikant haar aanbod in het Ultra-High-Performance-bandensegment (UHP-banden) uit en richt zich daarbij vooral op de grote banden vanaf 17 inch, waarbij een groei in de afzet wordt verwacht. Voor de tweede helft van het jaar rekent Hankook met een groeiende omzet, waartoe zowel de stabilisatie van de productie van de Amerikaanse fabriek in Tennessee, alsmede de groeiende afzet in de vervangingsmarkt moeten bijdragen. </w:t>
      </w:r>
    </w:p>
    <w:p w14:paraId="330411A8" w14:textId="77777777" w:rsidR="0093624E" w:rsidRPr="00563704" w:rsidRDefault="0093624E" w:rsidP="0093624E">
      <w:pPr>
        <w:wordWrap/>
        <w:snapToGrid w:val="0"/>
        <w:spacing w:line="276" w:lineRule="auto"/>
        <w:ind w:left="1" w:rightChars="56" w:right="112" w:hanging="1"/>
        <w:rPr>
          <w:rFonts w:ascii="Times New Roman"/>
          <w:sz w:val="21"/>
          <w:szCs w:val="21"/>
          <w:lang w:val="de-DE"/>
        </w:rPr>
      </w:pPr>
    </w:p>
    <w:p w14:paraId="3E2629AE" w14:textId="77777777" w:rsidR="000F3085" w:rsidRPr="00B737A9" w:rsidRDefault="00696E35" w:rsidP="002E676C">
      <w:pPr>
        <w:wordWrap/>
        <w:snapToGrid w:val="0"/>
        <w:spacing w:line="276" w:lineRule="auto"/>
        <w:ind w:left="1" w:rightChars="56" w:right="112" w:hanging="1"/>
        <w:jc w:val="center"/>
        <w:rPr>
          <w:rFonts w:ascii="Times New Roman"/>
          <w:sz w:val="21"/>
          <w:szCs w:val="21"/>
        </w:rPr>
      </w:pPr>
      <w:r>
        <w:rPr>
          <w:rFonts w:ascii="Times New Roman"/>
          <w:sz w:val="21"/>
          <w:szCs w:val="21"/>
        </w:rPr>
        <w:t>###</w:t>
      </w:r>
    </w:p>
    <w:p w14:paraId="007EE346" w14:textId="021346EB" w:rsidR="00A84365" w:rsidRDefault="00A84365" w:rsidP="00A84365">
      <w:pPr>
        <w:wordWrap/>
        <w:snapToGrid w:val="0"/>
        <w:spacing w:line="276" w:lineRule="auto"/>
        <w:ind w:rightChars="56" w:right="112"/>
        <w:rPr>
          <w:rFonts w:ascii="Times New Roman"/>
          <w:iCs/>
          <w:kern w:val="0"/>
          <w:sz w:val="21"/>
          <w:szCs w:val="21"/>
        </w:rPr>
      </w:pPr>
    </w:p>
    <w:p w14:paraId="38945553" w14:textId="77777777" w:rsidR="00A84365" w:rsidRDefault="00A84365" w:rsidP="00A84365">
      <w:pPr>
        <w:wordWrap/>
        <w:snapToGrid w:val="0"/>
        <w:spacing w:line="276" w:lineRule="auto"/>
        <w:ind w:rightChars="56" w:right="112"/>
        <w:rPr>
          <w:rFonts w:ascii="Times New Roman"/>
          <w:iCs/>
          <w:kern w:val="0"/>
          <w:sz w:val="21"/>
          <w:szCs w:val="21"/>
        </w:rPr>
      </w:pPr>
      <w:bookmarkStart w:id="0" w:name="_GoBack"/>
      <w:bookmarkEnd w:id="0"/>
    </w:p>
    <w:p w14:paraId="1EE19C5E" w14:textId="77777777" w:rsidR="00A84365" w:rsidRDefault="00A84365" w:rsidP="00A84365">
      <w:pPr>
        <w:widowControl/>
        <w:wordWrap/>
        <w:autoSpaceDE/>
        <w:autoSpaceDN/>
        <w:jc w:val="left"/>
        <w:rPr>
          <w:rFonts w:asciiTheme="minorBidi" w:hAnsiTheme="minorBidi" w:cstheme="minorBidi"/>
          <w:b/>
          <w:kern w:val="0"/>
          <w:sz w:val="22"/>
          <w:szCs w:val="22"/>
        </w:rPr>
      </w:pPr>
      <w:r>
        <w:rPr>
          <w:rFonts w:asciiTheme="minorBidi" w:hAnsiTheme="minorBidi" w:cstheme="minorBidi"/>
          <w:b/>
          <w:kern w:val="0"/>
          <w:sz w:val="22"/>
          <w:szCs w:val="22"/>
        </w:rPr>
        <w:t>Q2</w:t>
      </w:r>
      <w:r w:rsidRPr="00056BA7">
        <w:rPr>
          <w:rFonts w:asciiTheme="minorBidi" w:hAnsiTheme="minorBidi" w:cstheme="minorBidi"/>
          <w:b/>
          <w:kern w:val="0"/>
          <w:sz w:val="22"/>
          <w:szCs w:val="22"/>
        </w:rPr>
        <w:t xml:space="preserve"> 201</w:t>
      </w:r>
      <w:r>
        <w:rPr>
          <w:rFonts w:asciiTheme="minorBidi" w:hAnsiTheme="minorBidi" w:cstheme="minorBidi"/>
          <w:b/>
          <w:kern w:val="0"/>
          <w:sz w:val="22"/>
          <w:szCs w:val="22"/>
        </w:rPr>
        <w:t>8</w:t>
      </w:r>
      <w:r w:rsidRPr="00056BA7">
        <w:rPr>
          <w:rFonts w:asciiTheme="minorBidi" w:hAnsiTheme="minorBidi" w:cstheme="minorBidi"/>
          <w:b/>
          <w:kern w:val="0"/>
          <w:sz w:val="22"/>
          <w:szCs w:val="22"/>
        </w:rPr>
        <w:t xml:space="preserve"> Consolidated Financial Result</w:t>
      </w:r>
    </w:p>
    <w:p w14:paraId="503894DF" w14:textId="77777777" w:rsidR="00A84365" w:rsidRPr="00056BA7" w:rsidRDefault="00A84365" w:rsidP="00A84365">
      <w:pPr>
        <w:wordWrap/>
        <w:snapToGrid w:val="0"/>
        <w:ind w:rightChars="56" w:right="112"/>
        <w:rPr>
          <w:rFonts w:asciiTheme="minorBidi" w:hAnsiTheme="minorBidi" w:cstheme="minorBidi"/>
          <w:b/>
          <w:kern w:val="0"/>
          <w:sz w:val="22"/>
          <w:szCs w:val="22"/>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A84365" w:rsidRPr="00056BA7" w14:paraId="546CA15B" w14:textId="77777777" w:rsidTr="00985B71">
        <w:trPr>
          <w:trHeight w:val="342"/>
        </w:trPr>
        <w:tc>
          <w:tcPr>
            <w:tcW w:w="2552" w:type="dxa"/>
            <w:tcBorders>
              <w:bottom w:val="double" w:sz="4" w:space="0" w:color="auto"/>
              <w:right w:val="double" w:sz="4" w:space="0" w:color="auto"/>
            </w:tcBorders>
            <w:shd w:val="clear" w:color="auto" w:fill="7F7F7F" w:themeFill="text1" w:themeFillTint="80"/>
            <w:vAlign w:val="center"/>
          </w:tcPr>
          <w:p w14:paraId="25B4025F" w14:textId="77777777" w:rsidR="00A84365" w:rsidRPr="00056BA7"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05CBC018" w14:textId="77777777" w:rsidR="00A84365" w:rsidRPr="00056BA7"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99" w:type="dxa"/>
            <w:tcBorders>
              <w:bottom w:val="double" w:sz="4" w:space="0" w:color="auto"/>
              <w:right w:val="double" w:sz="4" w:space="0" w:color="auto"/>
            </w:tcBorders>
            <w:shd w:val="clear" w:color="auto" w:fill="7F7F7F" w:themeFill="text1" w:themeFillTint="80"/>
            <w:vAlign w:val="center"/>
          </w:tcPr>
          <w:p w14:paraId="74951A6E" w14:textId="77777777" w:rsidR="00A84365"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1723D344" w14:textId="77777777" w:rsidR="00A84365" w:rsidRPr="00056BA7"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A84365" w:rsidRPr="00D8322A" w14:paraId="398FFE83" w14:textId="77777777" w:rsidTr="00985B71">
        <w:trPr>
          <w:trHeight w:val="342"/>
        </w:trPr>
        <w:tc>
          <w:tcPr>
            <w:tcW w:w="2552" w:type="dxa"/>
            <w:tcBorders>
              <w:top w:val="double" w:sz="4" w:space="0" w:color="auto"/>
              <w:right w:val="double" w:sz="4" w:space="0" w:color="auto"/>
            </w:tcBorders>
            <w:vAlign w:val="center"/>
          </w:tcPr>
          <w:p w14:paraId="66770F1A" w14:textId="77777777" w:rsidR="00A84365" w:rsidRPr="00D8322A" w:rsidRDefault="00A84365" w:rsidP="00985B71">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tcPr>
          <w:p w14:paraId="008B39A2"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1,666.9</w:t>
            </w:r>
          </w:p>
        </w:tc>
        <w:tc>
          <w:tcPr>
            <w:tcW w:w="2599" w:type="dxa"/>
            <w:tcBorders>
              <w:top w:val="double" w:sz="4" w:space="0" w:color="auto"/>
              <w:right w:val="double" w:sz="4" w:space="0" w:color="auto"/>
            </w:tcBorders>
            <w:vAlign w:val="center"/>
          </w:tcPr>
          <w:p w14:paraId="782E9F84"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1,609.1</w:t>
            </w:r>
          </w:p>
        </w:tc>
        <w:tc>
          <w:tcPr>
            <w:tcW w:w="2599" w:type="dxa"/>
            <w:tcBorders>
              <w:top w:val="double" w:sz="4" w:space="0" w:color="auto"/>
              <w:left w:val="double" w:sz="4" w:space="0" w:color="auto"/>
              <w:right w:val="nil"/>
            </w:tcBorders>
            <w:shd w:val="clear" w:color="auto" w:fill="auto"/>
          </w:tcPr>
          <w:p w14:paraId="2FAA767A"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1,705.5</w:t>
            </w:r>
          </w:p>
        </w:tc>
      </w:tr>
      <w:tr w:rsidR="00A84365" w:rsidRPr="00D8322A" w14:paraId="33DE7705" w14:textId="77777777" w:rsidTr="00985B71">
        <w:trPr>
          <w:trHeight w:val="342"/>
        </w:trPr>
        <w:tc>
          <w:tcPr>
            <w:tcW w:w="2552" w:type="dxa"/>
            <w:tcBorders>
              <w:right w:val="double" w:sz="4" w:space="0" w:color="auto"/>
            </w:tcBorders>
            <w:vAlign w:val="center"/>
          </w:tcPr>
          <w:p w14:paraId="6423B969" w14:textId="77777777" w:rsidR="00A84365" w:rsidRPr="00D8322A" w:rsidRDefault="00A84365" w:rsidP="00985B71">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tcPr>
          <w:p w14:paraId="498CD878"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204.6</w:t>
            </w:r>
          </w:p>
        </w:tc>
        <w:tc>
          <w:tcPr>
            <w:tcW w:w="2599" w:type="dxa"/>
            <w:tcBorders>
              <w:right w:val="double" w:sz="4" w:space="0" w:color="auto"/>
            </w:tcBorders>
            <w:vAlign w:val="center"/>
          </w:tcPr>
          <w:p w14:paraId="3B595FF1"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184.8</w:t>
            </w:r>
          </w:p>
        </w:tc>
        <w:tc>
          <w:tcPr>
            <w:tcW w:w="2599" w:type="dxa"/>
            <w:tcBorders>
              <w:left w:val="double" w:sz="4" w:space="0" w:color="auto"/>
              <w:right w:val="nil"/>
            </w:tcBorders>
            <w:shd w:val="clear" w:color="auto" w:fill="auto"/>
          </w:tcPr>
          <w:p w14:paraId="6EC26D0D"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183.2</w:t>
            </w:r>
          </w:p>
        </w:tc>
      </w:tr>
    </w:tbl>
    <w:p w14:paraId="7888D8D9" w14:textId="77777777" w:rsidR="00A84365" w:rsidRPr="00D8322A" w:rsidRDefault="00A84365" w:rsidP="00A84365">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A84365" w:rsidRPr="00D8322A" w14:paraId="7F5B77C6" w14:textId="77777777" w:rsidTr="00985B71">
        <w:trPr>
          <w:trHeight w:val="363"/>
        </w:trPr>
        <w:tc>
          <w:tcPr>
            <w:tcW w:w="2587" w:type="dxa"/>
            <w:tcBorders>
              <w:bottom w:val="double" w:sz="4" w:space="0" w:color="auto"/>
              <w:right w:val="double" w:sz="4" w:space="0" w:color="auto"/>
            </w:tcBorders>
            <w:shd w:val="clear" w:color="auto" w:fill="7F7F7F" w:themeFill="text1" w:themeFillTint="80"/>
            <w:vAlign w:val="center"/>
          </w:tcPr>
          <w:p w14:paraId="34F3FB76"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F02B6CF"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762BEDFA"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0E55744D"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A84365" w:rsidRPr="00D8322A" w14:paraId="04FFEC7C" w14:textId="77777777" w:rsidTr="00985B71">
        <w:trPr>
          <w:trHeight w:val="363"/>
        </w:trPr>
        <w:tc>
          <w:tcPr>
            <w:tcW w:w="2587" w:type="dxa"/>
            <w:tcBorders>
              <w:top w:val="double" w:sz="4" w:space="0" w:color="auto"/>
              <w:bottom w:val="single" w:sz="4" w:space="0" w:color="auto"/>
              <w:right w:val="double" w:sz="4" w:space="0" w:color="auto"/>
            </w:tcBorders>
            <w:vAlign w:val="center"/>
          </w:tcPr>
          <w:p w14:paraId="730EE3E8" w14:textId="77777777" w:rsidR="00A84365" w:rsidRPr="00D8322A" w:rsidRDefault="00A84365" w:rsidP="00985B71">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nil"/>
              <w:left w:val="nil"/>
              <w:bottom w:val="single" w:sz="8" w:space="0" w:color="auto"/>
              <w:right w:val="double" w:sz="6" w:space="0" w:color="auto"/>
            </w:tcBorders>
            <w:shd w:val="clear" w:color="auto" w:fill="auto"/>
            <w:vAlign w:val="center"/>
          </w:tcPr>
          <w:p w14:paraId="1D4A3A96" w14:textId="77777777" w:rsidR="00A84365" w:rsidRPr="00553142" w:rsidRDefault="00A84365" w:rsidP="00985B71">
            <w:pPr>
              <w:jc w:val="center"/>
              <w:rPr>
                <w:rFonts w:asciiTheme="minorBidi" w:hAnsiTheme="minorBidi" w:cstheme="minorBidi"/>
                <w:b/>
                <w:sz w:val="22"/>
                <w:szCs w:val="22"/>
              </w:rPr>
            </w:pPr>
            <w:r w:rsidRPr="00AE2102">
              <w:rPr>
                <w:rFonts w:asciiTheme="minorBidi" w:hAnsiTheme="minorBidi" w:cstheme="minorBidi"/>
                <w:b/>
                <w:sz w:val="22"/>
                <w:szCs w:val="22"/>
              </w:rPr>
              <w:t xml:space="preserve">1,475.88 </w:t>
            </w:r>
          </w:p>
        </w:tc>
        <w:tc>
          <w:tcPr>
            <w:tcW w:w="2587" w:type="dxa"/>
            <w:tcBorders>
              <w:top w:val="nil"/>
              <w:left w:val="nil"/>
              <w:bottom w:val="single" w:sz="8" w:space="0" w:color="auto"/>
              <w:right w:val="double" w:sz="6" w:space="0" w:color="auto"/>
            </w:tcBorders>
            <w:shd w:val="clear" w:color="auto" w:fill="auto"/>
            <w:vAlign w:val="center"/>
          </w:tcPr>
          <w:p w14:paraId="43B65758" w14:textId="77777777" w:rsidR="00A84365" w:rsidRPr="00553142" w:rsidRDefault="00A84365" w:rsidP="00985B71">
            <w:pPr>
              <w:jc w:val="center"/>
              <w:rPr>
                <w:rFonts w:asciiTheme="minorBidi" w:hAnsiTheme="minorBidi" w:cstheme="minorBidi"/>
                <w:b/>
                <w:sz w:val="22"/>
                <w:szCs w:val="22"/>
              </w:rPr>
            </w:pPr>
            <w:r w:rsidRPr="00AE2102">
              <w:rPr>
                <w:rFonts w:asciiTheme="minorBidi" w:hAnsiTheme="minorBidi" w:cstheme="minorBidi"/>
                <w:b/>
                <w:sz w:val="22"/>
                <w:szCs w:val="22"/>
              </w:rPr>
              <w:t xml:space="preserve">1,500.62 </w:t>
            </w:r>
          </w:p>
        </w:tc>
        <w:tc>
          <w:tcPr>
            <w:tcW w:w="2587" w:type="dxa"/>
            <w:tcBorders>
              <w:top w:val="nil"/>
              <w:left w:val="nil"/>
              <w:bottom w:val="single" w:sz="8" w:space="0" w:color="auto"/>
              <w:right w:val="double" w:sz="6" w:space="0" w:color="auto"/>
            </w:tcBorders>
            <w:shd w:val="clear" w:color="auto" w:fill="auto"/>
            <w:vAlign w:val="center"/>
          </w:tcPr>
          <w:p w14:paraId="4541B66A" w14:textId="77777777" w:rsidR="00A84365" w:rsidRPr="00553142" w:rsidRDefault="00A84365" w:rsidP="00985B71">
            <w:pPr>
              <w:jc w:val="center"/>
              <w:rPr>
                <w:rFonts w:asciiTheme="minorBidi" w:hAnsiTheme="minorBidi" w:cstheme="minorBidi"/>
                <w:b/>
                <w:sz w:val="22"/>
                <w:szCs w:val="22"/>
              </w:rPr>
            </w:pPr>
            <w:r w:rsidRPr="00AE2102">
              <w:rPr>
                <w:rFonts w:asciiTheme="minorBidi" w:hAnsiTheme="minorBidi" w:cstheme="minorBidi"/>
                <w:b/>
                <w:sz w:val="22"/>
                <w:szCs w:val="22"/>
              </w:rPr>
              <w:t xml:space="preserve">1,581.26 </w:t>
            </w:r>
          </w:p>
        </w:tc>
      </w:tr>
      <w:tr w:rsidR="00A84365" w:rsidRPr="00D8322A" w14:paraId="54BBB4C2" w14:textId="77777777" w:rsidTr="00985B71">
        <w:trPr>
          <w:trHeight w:val="363"/>
        </w:trPr>
        <w:tc>
          <w:tcPr>
            <w:tcW w:w="2587" w:type="dxa"/>
            <w:tcBorders>
              <w:bottom w:val="single" w:sz="4" w:space="0" w:color="auto"/>
              <w:right w:val="double" w:sz="4" w:space="0" w:color="auto"/>
            </w:tcBorders>
            <w:vAlign w:val="center"/>
          </w:tcPr>
          <w:p w14:paraId="691FFAB4" w14:textId="77777777" w:rsidR="00A84365" w:rsidRPr="00D8322A" w:rsidRDefault="00A84365" w:rsidP="00985B71">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top w:val="nil"/>
              <w:left w:val="nil"/>
              <w:bottom w:val="single" w:sz="8" w:space="0" w:color="auto"/>
              <w:right w:val="double" w:sz="6" w:space="0" w:color="auto"/>
            </w:tcBorders>
            <w:shd w:val="clear" w:color="auto" w:fill="auto"/>
            <w:vAlign w:val="center"/>
          </w:tcPr>
          <w:p w14:paraId="0AE1CB4C" w14:textId="77777777" w:rsidR="00A84365" w:rsidRPr="00AE2102" w:rsidRDefault="00A84365" w:rsidP="00985B71">
            <w:pPr>
              <w:jc w:val="center"/>
              <w:rPr>
                <w:rFonts w:asciiTheme="minorBidi" w:hAnsiTheme="minorBidi" w:cstheme="minorBidi"/>
                <w:b/>
                <w:sz w:val="22"/>
                <w:szCs w:val="22"/>
              </w:rPr>
            </w:pPr>
            <w:r w:rsidRPr="00AE2102">
              <w:rPr>
                <w:rFonts w:asciiTheme="minorBidi" w:hAnsiTheme="minorBidi" w:cstheme="minorBidi"/>
                <w:b/>
                <w:sz w:val="22"/>
                <w:szCs w:val="22"/>
              </w:rPr>
              <w:t xml:space="preserve">181.15 </w:t>
            </w:r>
          </w:p>
        </w:tc>
        <w:tc>
          <w:tcPr>
            <w:tcW w:w="2587" w:type="dxa"/>
            <w:tcBorders>
              <w:top w:val="nil"/>
              <w:left w:val="nil"/>
              <w:bottom w:val="single" w:sz="8" w:space="0" w:color="auto"/>
              <w:right w:val="double" w:sz="6" w:space="0" w:color="auto"/>
            </w:tcBorders>
            <w:shd w:val="clear" w:color="auto" w:fill="auto"/>
            <w:vAlign w:val="center"/>
          </w:tcPr>
          <w:p w14:paraId="1340D869" w14:textId="77777777" w:rsidR="00A84365" w:rsidRPr="00553142" w:rsidRDefault="00A84365" w:rsidP="00985B71">
            <w:pPr>
              <w:jc w:val="center"/>
              <w:rPr>
                <w:rFonts w:asciiTheme="minorBidi" w:hAnsiTheme="minorBidi" w:cstheme="minorBidi"/>
                <w:b/>
                <w:sz w:val="22"/>
                <w:szCs w:val="22"/>
              </w:rPr>
            </w:pPr>
            <w:r w:rsidRPr="00AE2102">
              <w:rPr>
                <w:rFonts w:asciiTheme="minorBidi" w:hAnsiTheme="minorBidi" w:cstheme="minorBidi"/>
                <w:b/>
                <w:sz w:val="22"/>
                <w:szCs w:val="22"/>
              </w:rPr>
              <w:t xml:space="preserve">172.34 </w:t>
            </w:r>
          </w:p>
        </w:tc>
        <w:tc>
          <w:tcPr>
            <w:tcW w:w="2587" w:type="dxa"/>
            <w:tcBorders>
              <w:top w:val="nil"/>
              <w:left w:val="nil"/>
              <w:bottom w:val="single" w:sz="8" w:space="0" w:color="auto"/>
              <w:right w:val="double" w:sz="6" w:space="0" w:color="auto"/>
            </w:tcBorders>
            <w:shd w:val="clear" w:color="auto" w:fill="auto"/>
            <w:vAlign w:val="center"/>
          </w:tcPr>
          <w:p w14:paraId="39BAF7A8" w14:textId="77777777" w:rsidR="00A84365" w:rsidRPr="00AE2102" w:rsidRDefault="00A84365" w:rsidP="00985B71">
            <w:pPr>
              <w:jc w:val="center"/>
              <w:rPr>
                <w:rFonts w:asciiTheme="minorBidi" w:hAnsiTheme="minorBidi" w:cstheme="minorBidi"/>
                <w:b/>
                <w:sz w:val="22"/>
                <w:szCs w:val="22"/>
              </w:rPr>
            </w:pPr>
            <w:r>
              <w:rPr>
                <w:rFonts w:asciiTheme="minorBidi" w:hAnsiTheme="minorBidi" w:cstheme="minorBidi"/>
                <w:b/>
                <w:sz w:val="22"/>
                <w:szCs w:val="22"/>
              </w:rPr>
              <w:t>169.85</w:t>
            </w:r>
            <w:r w:rsidRPr="00AE2102">
              <w:rPr>
                <w:rFonts w:asciiTheme="minorBidi" w:hAnsiTheme="minorBidi" w:cstheme="minorBidi"/>
                <w:b/>
                <w:sz w:val="22"/>
                <w:szCs w:val="22"/>
              </w:rPr>
              <w:t xml:space="preserve"> </w:t>
            </w:r>
          </w:p>
        </w:tc>
      </w:tr>
    </w:tbl>
    <w:p w14:paraId="40125051" w14:textId="77777777" w:rsidR="00A84365" w:rsidRPr="00D8322A" w:rsidRDefault="00A84365" w:rsidP="00A84365">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A84365" w:rsidRPr="00D8322A" w14:paraId="4959CBFE" w14:textId="77777777" w:rsidTr="00985B71">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19A0051A"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2AF06979"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640B152E"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183877D4"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A84365" w:rsidRPr="00D8322A" w14:paraId="1D7B1F10" w14:textId="77777777" w:rsidTr="00985B71">
        <w:trPr>
          <w:trHeight w:val="363"/>
        </w:trPr>
        <w:tc>
          <w:tcPr>
            <w:tcW w:w="2587" w:type="dxa"/>
            <w:tcBorders>
              <w:top w:val="double" w:sz="4" w:space="0" w:color="auto"/>
              <w:right w:val="double" w:sz="4" w:space="0" w:color="auto"/>
            </w:tcBorders>
            <w:vAlign w:val="center"/>
          </w:tcPr>
          <w:p w14:paraId="14F3B029" w14:textId="77777777" w:rsidR="00A84365" w:rsidRPr="00D8322A" w:rsidRDefault="00A84365" w:rsidP="00985B71">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right w:val="double" w:sz="4" w:space="0" w:color="auto"/>
            </w:tcBorders>
            <w:shd w:val="clear" w:color="auto" w:fill="auto"/>
            <w:vAlign w:val="center"/>
          </w:tcPr>
          <w:p w14:paraId="63B9C30C"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1,341.20</w:t>
            </w:r>
          </w:p>
        </w:tc>
        <w:tc>
          <w:tcPr>
            <w:tcW w:w="2587" w:type="dxa"/>
            <w:tcBorders>
              <w:top w:val="double" w:sz="4" w:space="0" w:color="auto"/>
              <w:left w:val="double" w:sz="4" w:space="0" w:color="auto"/>
              <w:right w:val="double" w:sz="4" w:space="0" w:color="auto"/>
            </w:tcBorders>
            <w:vAlign w:val="center"/>
          </w:tcPr>
          <w:p w14:paraId="687C9F5D"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14:paraId="0FFAA43B"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 xml:space="preserve">1,325.34 </w:t>
            </w:r>
          </w:p>
        </w:tc>
      </w:tr>
      <w:tr w:rsidR="00A84365" w:rsidRPr="001A61C5" w14:paraId="4F353486" w14:textId="77777777" w:rsidTr="00985B71">
        <w:trPr>
          <w:trHeight w:val="363"/>
        </w:trPr>
        <w:tc>
          <w:tcPr>
            <w:tcW w:w="2587" w:type="dxa"/>
            <w:tcBorders>
              <w:right w:val="double" w:sz="4" w:space="0" w:color="auto"/>
            </w:tcBorders>
            <w:vAlign w:val="center"/>
          </w:tcPr>
          <w:p w14:paraId="1763620F" w14:textId="77777777" w:rsidR="00A84365" w:rsidRPr="00D8322A" w:rsidRDefault="00A84365" w:rsidP="00985B71">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14:paraId="5AB5AA98"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 xml:space="preserve">164.62 </w:t>
            </w:r>
          </w:p>
        </w:tc>
        <w:tc>
          <w:tcPr>
            <w:tcW w:w="2587" w:type="dxa"/>
            <w:tcBorders>
              <w:left w:val="double" w:sz="4" w:space="0" w:color="auto"/>
              <w:right w:val="double" w:sz="4" w:space="0" w:color="auto"/>
            </w:tcBorders>
            <w:vAlign w:val="center"/>
          </w:tcPr>
          <w:p w14:paraId="065E7E8F"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 xml:space="preserve">140.29 </w:t>
            </w:r>
          </w:p>
        </w:tc>
        <w:tc>
          <w:tcPr>
            <w:tcW w:w="2587" w:type="dxa"/>
            <w:tcBorders>
              <w:left w:val="double" w:sz="4" w:space="0" w:color="auto"/>
              <w:right w:val="nil"/>
            </w:tcBorders>
            <w:shd w:val="clear" w:color="auto" w:fill="FFFFFF" w:themeFill="background1"/>
            <w:vAlign w:val="center"/>
          </w:tcPr>
          <w:p w14:paraId="7229F8A8" w14:textId="77777777" w:rsidR="00A84365" w:rsidRPr="00553142" w:rsidRDefault="00A84365" w:rsidP="00985B71">
            <w:pPr>
              <w:jc w:val="center"/>
              <w:rPr>
                <w:rFonts w:asciiTheme="minorBidi" w:hAnsiTheme="minorBidi" w:cstheme="minorBidi"/>
                <w:b/>
                <w:sz w:val="22"/>
                <w:szCs w:val="22"/>
              </w:rPr>
            </w:pPr>
            <w:r>
              <w:rPr>
                <w:rFonts w:ascii="Arial" w:eastAsia="Malgun Gothic" w:hAnsi="Arial" w:cs="Arial"/>
                <w:b/>
                <w:bCs/>
                <w:color w:val="000000"/>
                <w:sz w:val="22"/>
                <w:szCs w:val="22"/>
              </w:rPr>
              <w:t xml:space="preserve">142.36 </w:t>
            </w:r>
          </w:p>
        </w:tc>
      </w:tr>
    </w:tbl>
    <w:p w14:paraId="472CDD4F" w14:textId="77777777" w:rsidR="00A84365" w:rsidRPr="001A61C5" w:rsidRDefault="00A84365" w:rsidP="00A84365">
      <w:pPr>
        <w:wordWrap/>
        <w:snapToGrid w:val="0"/>
        <w:ind w:leftChars="71" w:left="142" w:rightChars="56" w:right="112"/>
        <w:rPr>
          <w:rFonts w:asciiTheme="minorBidi" w:hAnsiTheme="minorBidi" w:cstheme="minorBidi"/>
          <w:kern w:val="0"/>
          <w:sz w:val="22"/>
          <w:szCs w:val="22"/>
        </w:rPr>
      </w:pPr>
    </w:p>
    <w:p w14:paraId="1F32F75E" w14:textId="77777777" w:rsidR="00A84365" w:rsidRPr="001A61C5" w:rsidRDefault="00A84365" w:rsidP="00A84365">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A84365" w:rsidRPr="001A61C5" w14:paraId="22BC89B1" w14:textId="77777777" w:rsidTr="00985B71">
        <w:trPr>
          <w:trHeight w:val="363"/>
        </w:trPr>
        <w:tc>
          <w:tcPr>
            <w:tcW w:w="2587" w:type="dxa"/>
            <w:tcBorders>
              <w:bottom w:val="double" w:sz="4" w:space="0" w:color="auto"/>
              <w:right w:val="double" w:sz="4" w:space="0" w:color="auto"/>
            </w:tcBorders>
            <w:shd w:val="clear" w:color="auto" w:fill="7F7F7F" w:themeFill="text1" w:themeFillTint="80"/>
            <w:vAlign w:val="center"/>
          </w:tcPr>
          <w:p w14:paraId="0148988F" w14:textId="77777777" w:rsidR="00A84365" w:rsidRPr="001A61C5" w:rsidRDefault="00A84365" w:rsidP="00985B71">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14:paraId="59115D65"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A38D56C"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41603420" w14:textId="77777777" w:rsidR="00A84365" w:rsidRPr="00D8322A" w:rsidRDefault="00A84365" w:rsidP="00985B71">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A84365" w:rsidRPr="001A61C5" w14:paraId="79F244C2" w14:textId="77777777" w:rsidTr="00985B71">
        <w:trPr>
          <w:trHeight w:val="363"/>
        </w:trPr>
        <w:tc>
          <w:tcPr>
            <w:tcW w:w="2587" w:type="dxa"/>
            <w:tcBorders>
              <w:top w:val="double" w:sz="4" w:space="0" w:color="auto"/>
              <w:right w:val="double" w:sz="4" w:space="0" w:color="auto"/>
            </w:tcBorders>
            <w:vAlign w:val="center"/>
          </w:tcPr>
          <w:p w14:paraId="35FB0B84" w14:textId="77777777" w:rsidR="00A84365" w:rsidRPr="001A61C5" w:rsidRDefault="00A84365" w:rsidP="00985B71">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USD / KRW</w:t>
            </w:r>
          </w:p>
        </w:tc>
        <w:tc>
          <w:tcPr>
            <w:tcW w:w="2587" w:type="dxa"/>
            <w:tcBorders>
              <w:top w:val="double" w:sz="4" w:space="0" w:color="auto"/>
              <w:right w:val="double" w:sz="4" w:space="0" w:color="auto"/>
            </w:tcBorders>
          </w:tcPr>
          <w:p w14:paraId="7AF593FA"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129.43</w:t>
            </w:r>
          </w:p>
        </w:tc>
        <w:tc>
          <w:tcPr>
            <w:tcW w:w="2587" w:type="dxa"/>
            <w:tcBorders>
              <w:top w:val="double" w:sz="4" w:space="0" w:color="auto"/>
              <w:left w:val="double" w:sz="4" w:space="0" w:color="auto"/>
              <w:right w:val="double" w:sz="4" w:space="0" w:color="auto"/>
            </w:tcBorders>
          </w:tcPr>
          <w:p w14:paraId="3A3AD389"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1,072.29</w:t>
            </w:r>
          </w:p>
        </w:tc>
        <w:tc>
          <w:tcPr>
            <w:tcW w:w="2587" w:type="dxa"/>
            <w:tcBorders>
              <w:top w:val="double" w:sz="4" w:space="0" w:color="auto"/>
              <w:left w:val="double" w:sz="4" w:space="0" w:color="auto"/>
              <w:right w:val="nil"/>
            </w:tcBorders>
          </w:tcPr>
          <w:p w14:paraId="7DD1F007"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1,078.57</w:t>
            </w:r>
          </w:p>
        </w:tc>
      </w:tr>
      <w:tr w:rsidR="00A84365" w:rsidRPr="001A61C5" w14:paraId="43586BC2" w14:textId="77777777" w:rsidTr="00985B71">
        <w:trPr>
          <w:trHeight w:val="363"/>
        </w:trPr>
        <w:tc>
          <w:tcPr>
            <w:tcW w:w="2587" w:type="dxa"/>
            <w:tcBorders>
              <w:right w:val="double" w:sz="4" w:space="0" w:color="auto"/>
            </w:tcBorders>
            <w:vAlign w:val="center"/>
          </w:tcPr>
          <w:p w14:paraId="5E44CF5E" w14:textId="77777777" w:rsidR="00A84365" w:rsidRPr="001A61C5" w:rsidRDefault="00A84365" w:rsidP="00985B71">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EUR / KRW</w:t>
            </w:r>
          </w:p>
        </w:tc>
        <w:tc>
          <w:tcPr>
            <w:tcW w:w="2587" w:type="dxa"/>
            <w:tcBorders>
              <w:right w:val="double" w:sz="4" w:space="0" w:color="auto"/>
            </w:tcBorders>
          </w:tcPr>
          <w:p w14:paraId="10D443F6"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242.84</w:t>
            </w:r>
          </w:p>
        </w:tc>
        <w:tc>
          <w:tcPr>
            <w:tcW w:w="2587" w:type="dxa"/>
            <w:tcBorders>
              <w:left w:val="double" w:sz="4" w:space="0" w:color="auto"/>
              <w:right w:val="double" w:sz="4" w:space="0" w:color="auto"/>
            </w:tcBorders>
          </w:tcPr>
          <w:p w14:paraId="3A3FDCAE"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1,317.24</w:t>
            </w:r>
          </w:p>
        </w:tc>
        <w:tc>
          <w:tcPr>
            <w:tcW w:w="2587" w:type="dxa"/>
            <w:tcBorders>
              <w:left w:val="double" w:sz="4" w:space="0" w:color="auto"/>
              <w:right w:val="nil"/>
            </w:tcBorders>
          </w:tcPr>
          <w:p w14:paraId="3F01CE69" w14:textId="77777777" w:rsidR="00A84365" w:rsidRPr="00553142" w:rsidRDefault="00A84365" w:rsidP="00985B71">
            <w:pPr>
              <w:jc w:val="center"/>
              <w:rPr>
                <w:rFonts w:asciiTheme="minorBidi" w:hAnsiTheme="minorBidi" w:cstheme="minorBidi"/>
                <w:b/>
                <w:sz w:val="22"/>
                <w:szCs w:val="22"/>
              </w:rPr>
            </w:pPr>
            <w:r>
              <w:rPr>
                <w:rFonts w:asciiTheme="minorBidi" w:hAnsiTheme="minorBidi" w:cstheme="minorBidi" w:hint="eastAsia"/>
                <w:b/>
                <w:sz w:val="22"/>
                <w:szCs w:val="22"/>
              </w:rPr>
              <w:t>1,286.84</w:t>
            </w:r>
          </w:p>
        </w:tc>
      </w:tr>
    </w:tbl>
    <w:p w14:paraId="322AD49C" w14:textId="77777777" w:rsidR="00A84365" w:rsidRPr="0093624E" w:rsidRDefault="00A84365" w:rsidP="00A84365">
      <w:pPr>
        <w:wordWrap/>
        <w:snapToGrid w:val="0"/>
        <w:spacing w:line="276" w:lineRule="auto"/>
        <w:ind w:rightChars="56" w:right="112"/>
        <w:rPr>
          <w:rFonts w:ascii="Times New Roman"/>
          <w:iCs/>
          <w:kern w:val="0"/>
          <w:sz w:val="21"/>
          <w:szCs w:val="21"/>
        </w:rPr>
      </w:pPr>
    </w:p>
    <w:p w14:paraId="302B2410" w14:textId="77777777" w:rsidR="00A84365" w:rsidRDefault="00A84365" w:rsidP="00A84365">
      <w:pPr>
        <w:wordWrap/>
        <w:snapToGrid w:val="0"/>
        <w:spacing w:line="276" w:lineRule="auto"/>
        <w:ind w:rightChars="56" w:right="112"/>
        <w:rPr>
          <w:rFonts w:ascii="Times New Roman"/>
          <w:b/>
          <w:iCs/>
          <w:kern w:val="0"/>
          <w:sz w:val="21"/>
          <w:szCs w:val="21"/>
        </w:rPr>
      </w:pPr>
    </w:p>
    <w:p w14:paraId="34344CAE" w14:textId="77777777" w:rsidR="0093624E" w:rsidRPr="00B737A9" w:rsidRDefault="0093624E" w:rsidP="002E676C">
      <w:pPr>
        <w:wordWrap/>
        <w:snapToGrid w:val="0"/>
        <w:spacing w:line="276" w:lineRule="auto"/>
        <w:ind w:rightChars="56" w:right="112"/>
        <w:rPr>
          <w:rFonts w:ascii="Times New Roman"/>
          <w:iCs/>
          <w:kern w:val="0"/>
          <w:sz w:val="21"/>
          <w:szCs w:val="21"/>
          <w:lang w:val="de-DE"/>
        </w:rPr>
      </w:pPr>
    </w:p>
    <w:p w14:paraId="556E6D7A" w14:textId="77777777" w:rsidR="00224EF1" w:rsidRPr="00B737A9" w:rsidRDefault="00224EF1" w:rsidP="002E676C">
      <w:pPr>
        <w:wordWrap/>
        <w:snapToGrid w:val="0"/>
        <w:spacing w:line="276" w:lineRule="auto"/>
        <w:ind w:rightChars="56" w:right="112"/>
        <w:rPr>
          <w:rFonts w:ascii="Times New Roman"/>
          <w:b/>
          <w:iCs/>
          <w:kern w:val="0"/>
          <w:sz w:val="21"/>
          <w:szCs w:val="21"/>
          <w:lang w:val="de-DE"/>
        </w:rPr>
      </w:pPr>
    </w:p>
    <w:p w14:paraId="016449B0" w14:textId="77777777" w:rsidR="00E76700" w:rsidRPr="00E76700" w:rsidRDefault="00E76700" w:rsidP="00E76700">
      <w:pPr>
        <w:wordWrap/>
        <w:snapToGrid w:val="0"/>
        <w:spacing w:line="276" w:lineRule="auto"/>
        <w:ind w:rightChars="56" w:right="112"/>
        <w:rPr>
          <w:rFonts w:ascii="Times New Roman"/>
          <w:b/>
          <w:bCs/>
          <w:color w:val="00000A"/>
          <w:sz w:val="21"/>
          <w:szCs w:val="21"/>
          <w:lang w:bidi="nl-NL"/>
        </w:rPr>
      </w:pPr>
      <w:r w:rsidRPr="00E76700">
        <w:rPr>
          <w:rFonts w:ascii="Times New Roman"/>
          <w:b/>
          <w:bCs/>
          <w:color w:val="00000A"/>
          <w:sz w:val="21"/>
          <w:szCs w:val="21"/>
          <w:lang w:bidi="nl-NL"/>
        </w:rPr>
        <w:t>Over Hankook</w:t>
      </w:r>
    </w:p>
    <w:p w14:paraId="7F6B9CFB"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p>
    <w:p w14:paraId="5E72444A"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r w:rsidRPr="00E76700">
        <w:rPr>
          <w:rFonts w:ascii="Times New Roman"/>
          <w:bCs/>
          <w:color w:val="00000A"/>
          <w:sz w:val="21"/>
          <w:szCs w:val="21"/>
          <w:lang w:bidi="nl-NL"/>
        </w:rPr>
        <w:t>Hankook produceert wereldwijd innovatieve, prijswinnende high performance radiaalbanden voor het premium segment voor auto's, SUV's, terreinwagens, lichte vrachtwagens, vrachtwagens en bussen evenals voor de autosport (racecircuit/ rally).</w:t>
      </w:r>
    </w:p>
    <w:p w14:paraId="60B2C10B"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p>
    <w:p w14:paraId="44A4ADFE"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r w:rsidRPr="00E76700">
        <w:rPr>
          <w:rFonts w:ascii="Times New Roman"/>
          <w:bCs/>
          <w:color w:val="00000A"/>
          <w:sz w:val="21"/>
          <w:szCs w:val="21"/>
          <w:lang w:bidi="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CB3D1CC"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p>
    <w:p w14:paraId="198467DD" w14:textId="77777777" w:rsidR="00E76700" w:rsidRPr="00E76700" w:rsidRDefault="00E76700" w:rsidP="00E76700">
      <w:pPr>
        <w:wordWrap/>
        <w:snapToGrid w:val="0"/>
        <w:spacing w:line="276" w:lineRule="auto"/>
        <w:ind w:rightChars="56" w:right="112"/>
        <w:rPr>
          <w:rFonts w:ascii="Times New Roman"/>
          <w:bCs/>
          <w:color w:val="00000A"/>
          <w:sz w:val="21"/>
          <w:szCs w:val="21"/>
          <w:lang w:val="en-US"/>
        </w:rPr>
      </w:pPr>
      <w:r w:rsidRPr="00E76700">
        <w:rPr>
          <w:rFonts w:ascii="Times New Roman"/>
          <w:bCs/>
          <w:color w:val="00000A"/>
          <w:sz w:val="21"/>
          <w:szCs w:val="21"/>
          <w:lang w:bidi="nl-NL"/>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w:t>
      </w:r>
      <w:r w:rsidRPr="00E76700">
        <w:rPr>
          <w:rFonts w:ascii="Times New Roman"/>
          <w:bCs/>
          <w:color w:val="00000A"/>
          <w:sz w:val="21"/>
          <w:szCs w:val="21"/>
          <w:lang w:val="en-US"/>
        </w:rPr>
        <w:t xml:space="preserve">Hankook Tire is </w:t>
      </w:r>
      <w:proofErr w:type="spellStart"/>
      <w:r w:rsidRPr="00E76700">
        <w:rPr>
          <w:rFonts w:ascii="Times New Roman"/>
          <w:bCs/>
          <w:color w:val="00000A"/>
          <w:sz w:val="21"/>
          <w:szCs w:val="21"/>
          <w:lang w:val="en-US"/>
        </w:rPr>
        <w:t>sinds</w:t>
      </w:r>
      <w:proofErr w:type="spellEnd"/>
      <w:r w:rsidRPr="00E76700">
        <w:rPr>
          <w:rFonts w:ascii="Times New Roman"/>
          <w:bCs/>
          <w:color w:val="00000A"/>
          <w:sz w:val="21"/>
          <w:szCs w:val="21"/>
          <w:lang w:val="en-US"/>
        </w:rPr>
        <w:t xml:space="preserve"> 2016 </w:t>
      </w:r>
      <w:proofErr w:type="spellStart"/>
      <w:r w:rsidRPr="00E76700">
        <w:rPr>
          <w:rFonts w:ascii="Times New Roman"/>
          <w:bCs/>
          <w:color w:val="00000A"/>
          <w:sz w:val="21"/>
          <w:szCs w:val="21"/>
          <w:lang w:val="en-US"/>
        </w:rPr>
        <w:t>opgenomen</w:t>
      </w:r>
      <w:proofErr w:type="spellEnd"/>
      <w:r w:rsidRPr="00E76700">
        <w:rPr>
          <w:rFonts w:ascii="Times New Roman"/>
          <w:bCs/>
          <w:color w:val="00000A"/>
          <w:sz w:val="21"/>
          <w:szCs w:val="21"/>
          <w:lang w:val="en-US"/>
        </w:rPr>
        <w:t xml:space="preserve"> in de Dow Jones Sustainability Index World (DJSI World).</w:t>
      </w:r>
    </w:p>
    <w:p w14:paraId="07913A5E" w14:textId="77777777" w:rsidR="00E76700" w:rsidRPr="00E76700" w:rsidRDefault="00E76700" w:rsidP="00E76700">
      <w:pPr>
        <w:wordWrap/>
        <w:snapToGrid w:val="0"/>
        <w:spacing w:line="276" w:lineRule="auto"/>
        <w:ind w:rightChars="56" w:right="112"/>
        <w:rPr>
          <w:rFonts w:ascii="Times New Roman"/>
          <w:bCs/>
          <w:color w:val="00000A"/>
          <w:sz w:val="21"/>
          <w:szCs w:val="21"/>
          <w:lang w:val="en-US"/>
        </w:rPr>
      </w:pPr>
    </w:p>
    <w:p w14:paraId="6978DAA6" w14:textId="77777777" w:rsidR="00E76700" w:rsidRPr="00E76700" w:rsidRDefault="00E76700" w:rsidP="00E76700">
      <w:pPr>
        <w:wordWrap/>
        <w:snapToGrid w:val="0"/>
        <w:spacing w:line="276" w:lineRule="auto"/>
        <w:ind w:rightChars="56" w:right="112"/>
        <w:rPr>
          <w:rFonts w:ascii="Times New Roman"/>
          <w:bCs/>
          <w:color w:val="00000A"/>
          <w:sz w:val="21"/>
          <w:szCs w:val="21"/>
          <w:lang w:bidi="nl-NL"/>
        </w:rPr>
      </w:pPr>
      <w:r w:rsidRPr="00E76700">
        <w:rPr>
          <w:rFonts w:ascii="Times New Roman"/>
          <w:bCs/>
          <w:color w:val="00000A"/>
          <w:sz w:val="21"/>
          <w:szCs w:val="21"/>
          <w:lang w:bidi="nl-NL"/>
        </w:rPr>
        <w:t xml:space="preserve">Meer informatie vindt u op </w:t>
      </w:r>
      <w:hyperlink r:id="rId8" w:history="1">
        <w:r w:rsidRPr="00E76700">
          <w:rPr>
            <w:rStyle w:val="Hyperlink"/>
            <w:rFonts w:ascii="Times New Roman"/>
            <w:bCs/>
            <w:sz w:val="21"/>
            <w:szCs w:val="21"/>
            <w:lang w:bidi="nl-NL"/>
          </w:rPr>
          <w:t>www.hankooktire-mediacenter.com</w:t>
        </w:r>
      </w:hyperlink>
      <w:r w:rsidRPr="00E76700">
        <w:rPr>
          <w:rFonts w:ascii="Times New Roman"/>
          <w:bCs/>
          <w:color w:val="00000A"/>
          <w:sz w:val="21"/>
          <w:szCs w:val="21"/>
          <w:lang w:bidi="nl-NL"/>
        </w:rPr>
        <w:t xml:space="preserve"> of </w:t>
      </w:r>
      <w:hyperlink r:id="rId9" w:history="1">
        <w:r w:rsidRPr="00E76700">
          <w:rPr>
            <w:rStyle w:val="Hyperlink"/>
            <w:rFonts w:ascii="Times New Roman"/>
            <w:bCs/>
            <w:sz w:val="21"/>
            <w:szCs w:val="21"/>
            <w:lang w:bidi="nl-NL"/>
          </w:rPr>
          <w:t>www.hankooktire.com</w:t>
        </w:r>
      </w:hyperlink>
    </w:p>
    <w:p w14:paraId="71249F50" w14:textId="77777777" w:rsidR="002E676C" w:rsidRPr="00E76700" w:rsidRDefault="002E676C" w:rsidP="002E676C">
      <w:pPr>
        <w:wordWrap/>
        <w:snapToGrid w:val="0"/>
        <w:spacing w:line="276" w:lineRule="auto"/>
        <w:ind w:rightChars="56" w:right="112"/>
        <w:rPr>
          <w:rFonts w:ascii="Arial" w:hAnsi="Arial" w:cs="Arial"/>
          <w:iCs/>
          <w:kern w:val="0"/>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B737A9" w14:paraId="3A48739F" w14:textId="77777777" w:rsidTr="00D74661">
        <w:tc>
          <w:tcPr>
            <w:tcW w:w="10456" w:type="dxa"/>
            <w:gridSpan w:val="4"/>
            <w:shd w:val="clear" w:color="auto" w:fill="F2F2F2"/>
          </w:tcPr>
          <w:p w14:paraId="2500C2BD" w14:textId="40D72AA6" w:rsidR="002E676C" w:rsidRPr="00961C07" w:rsidRDefault="00E76700" w:rsidP="005578B3">
            <w:pPr>
              <w:spacing w:line="320" w:lineRule="exact"/>
              <w:ind w:left="142" w:rightChars="56" w:right="112"/>
              <w:rPr>
                <w:rFonts w:ascii="Times New Roman"/>
                <w:b/>
                <w:bCs/>
                <w:sz w:val="22"/>
                <w:szCs w:val="22"/>
                <w:u w:val="single"/>
              </w:rPr>
            </w:pPr>
            <w:r>
              <w:rPr>
                <w:rFonts w:ascii="Times New Roman"/>
                <w:b/>
                <w:bCs/>
                <w:sz w:val="22"/>
                <w:szCs w:val="22"/>
                <w:u w:val="single"/>
              </w:rPr>
              <w:t>C</w:t>
            </w:r>
            <w:r w:rsidR="00B737A9">
              <w:rPr>
                <w:rFonts w:ascii="Times New Roman"/>
                <w:b/>
                <w:bCs/>
                <w:sz w:val="22"/>
                <w:szCs w:val="22"/>
                <w:u w:val="single"/>
              </w:rPr>
              <w:t>onta</w:t>
            </w:r>
            <w:r>
              <w:rPr>
                <w:rFonts w:ascii="Times New Roman"/>
                <w:b/>
                <w:bCs/>
                <w:sz w:val="22"/>
                <w:szCs w:val="22"/>
                <w:u w:val="single"/>
              </w:rPr>
              <w:t>ct</w:t>
            </w:r>
            <w:r w:rsidR="00B737A9">
              <w:rPr>
                <w:rFonts w:ascii="Times New Roman"/>
                <w:b/>
                <w:bCs/>
                <w:sz w:val="22"/>
                <w:szCs w:val="22"/>
                <w:u w:val="single"/>
              </w:rPr>
              <w:t>:</w:t>
            </w:r>
          </w:p>
          <w:p w14:paraId="293B9E1C" w14:textId="037E1F64" w:rsidR="002E676C" w:rsidRPr="00B737A9" w:rsidRDefault="002E676C" w:rsidP="005578B3">
            <w:pPr>
              <w:spacing w:line="320" w:lineRule="exact"/>
              <w:ind w:left="142" w:rightChars="56" w:right="112"/>
              <w:rPr>
                <w:rFonts w:ascii="Times New Roman"/>
                <w:sz w:val="16"/>
                <w:szCs w:val="16"/>
              </w:rPr>
            </w:pPr>
            <w:r>
              <w:rPr>
                <w:rFonts w:ascii="Times New Roman"/>
                <w:b/>
                <w:bCs/>
                <w:sz w:val="16"/>
                <w:szCs w:val="16"/>
              </w:rPr>
              <w:t>Hankook Tire Europe GmbH</w:t>
            </w:r>
            <w:r>
              <w:rPr>
                <w:rFonts w:ascii="Times New Roman"/>
                <w:bCs/>
                <w:sz w:val="16"/>
                <w:szCs w:val="16"/>
              </w:rPr>
              <w:t xml:space="preserve"> | Corporate Communications Europe/CIS | </w:t>
            </w:r>
            <w:r>
              <w:rPr>
                <w:rFonts w:ascii="Times New Roman"/>
                <w:sz w:val="16"/>
                <w:szCs w:val="16"/>
              </w:rPr>
              <w:t>Siemensstr. 14, 63263 Neu-Isenburg</w:t>
            </w:r>
            <w:r>
              <w:rPr>
                <w:rFonts w:ascii="Times New Roman"/>
                <w:bCs/>
                <w:sz w:val="16"/>
                <w:szCs w:val="16"/>
              </w:rPr>
              <w:t xml:space="preserve"> | Deutschland</w:t>
            </w:r>
          </w:p>
          <w:p w14:paraId="6F2D5CA7" w14:textId="77777777" w:rsidR="002E676C" w:rsidRPr="00B737A9" w:rsidRDefault="002E676C" w:rsidP="005578B3">
            <w:pPr>
              <w:spacing w:line="200" w:lineRule="exact"/>
              <w:ind w:left="142" w:rightChars="56" w:right="112"/>
              <w:rPr>
                <w:rFonts w:ascii="Times New Roman"/>
                <w:sz w:val="16"/>
                <w:szCs w:val="16"/>
                <w:u w:val="single"/>
                <w:lang w:val="de-DE"/>
              </w:rPr>
            </w:pPr>
          </w:p>
        </w:tc>
      </w:tr>
      <w:tr w:rsidR="0093624E" w:rsidRPr="00B737A9" w14:paraId="114A7D6D" w14:textId="77777777" w:rsidTr="00D74661">
        <w:tc>
          <w:tcPr>
            <w:tcW w:w="2977" w:type="dxa"/>
            <w:shd w:val="clear" w:color="auto" w:fill="F2F2F2"/>
          </w:tcPr>
          <w:p w14:paraId="08886578" w14:textId="77777777" w:rsidR="0093624E" w:rsidRPr="00B737A9" w:rsidRDefault="0093624E" w:rsidP="0093624E">
            <w:pPr>
              <w:spacing w:line="200" w:lineRule="exact"/>
              <w:ind w:left="142" w:rightChars="56" w:right="112"/>
              <w:rPr>
                <w:rFonts w:ascii="Times New Roman"/>
                <w:b/>
                <w:snapToGrid w:val="0"/>
                <w:sz w:val="16"/>
                <w:szCs w:val="16"/>
              </w:rPr>
            </w:pPr>
            <w:r>
              <w:rPr>
                <w:rFonts w:ascii="Times New Roman"/>
                <w:b/>
                <w:snapToGrid w:val="0"/>
                <w:sz w:val="16"/>
                <w:szCs w:val="16"/>
              </w:rPr>
              <w:t>Felix Kinzer</w:t>
            </w:r>
          </w:p>
          <w:p w14:paraId="73A963BD" w14:textId="77777777" w:rsidR="0093624E" w:rsidRPr="00B737A9" w:rsidRDefault="0093624E" w:rsidP="0093624E">
            <w:pPr>
              <w:spacing w:line="200" w:lineRule="exact"/>
              <w:ind w:left="142" w:rightChars="56" w:right="112"/>
              <w:rPr>
                <w:rFonts w:ascii="Times New Roman"/>
                <w:snapToGrid w:val="0"/>
                <w:sz w:val="16"/>
                <w:szCs w:val="16"/>
              </w:rPr>
            </w:pPr>
            <w:r>
              <w:rPr>
                <w:rFonts w:ascii="Times New Roman"/>
                <w:snapToGrid w:val="0"/>
                <w:sz w:val="16"/>
                <w:szCs w:val="16"/>
              </w:rPr>
              <w:t>Director</w:t>
            </w:r>
          </w:p>
          <w:p w14:paraId="44643DE0" w14:textId="77777777" w:rsidR="0093624E" w:rsidRPr="00B737A9" w:rsidRDefault="0093624E" w:rsidP="0093624E">
            <w:pPr>
              <w:spacing w:line="200" w:lineRule="exact"/>
              <w:ind w:left="142" w:rightChars="56" w:right="112"/>
              <w:rPr>
                <w:rFonts w:ascii="Times New Roman"/>
                <w:snapToGrid w:val="0"/>
                <w:sz w:val="16"/>
                <w:szCs w:val="16"/>
              </w:rPr>
            </w:pPr>
            <w:r>
              <w:rPr>
                <w:rFonts w:ascii="Times New Roman"/>
                <w:snapToGrid w:val="0"/>
                <w:sz w:val="16"/>
                <w:szCs w:val="16"/>
              </w:rPr>
              <w:t>Tel.: +49 (0) 61 02 8149 – 170</w:t>
            </w:r>
          </w:p>
          <w:p w14:paraId="54A689B9" w14:textId="77777777" w:rsidR="0093624E" w:rsidRPr="00B737A9" w:rsidRDefault="0093624E" w:rsidP="0093624E">
            <w:pPr>
              <w:ind w:left="142" w:rightChars="56" w:right="112"/>
              <w:rPr>
                <w:rFonts w:ascii="Times New Roman"/>
                <w:snapToGrid w:val="0"/>
                <w:sz w:val="16"/>
                <w:szCs w:val="16"/>
              </w:rPr>
            </w:pPr>
            <w:r>
              <w:rPr>
                <w:rFonts w:ascii="Times New Roman"/>
                <w:snapToGrid w:val="0"/>
                <w:color w:val="0000FF"/>
                <w:sz w:val="16"/>
                <w:szCs w:val="16"/>
                <w:u w:val="single"/>
              </w:rPr>
              <w:t>f.kinzer@hankookreifen.de</w:t>
            </w:r>
          </w:p>
        </w:tc>
        <w:tc>
          <w:tcPr>
            <w:tcW w:w="3085" w:type="dxa"/>
            <w:shd w:val="clear" w:color="auto" w:fill="F2F2F2"/>
          </w:tcPr>
          <w:p w14:paraId="13FE65C3" w14:textId="77777777" w:rsidR="0093624E" w:rsidRPr="00B737A9" w:rsidRDefault="0093624E" w:rsidP="0093624E">
            <w:pPr>
              <w:wordWrap/>
              <w:spacing w:line="200" w:lineRule="exact"/>
              <w:rPr>
                <w:rFonts w:ascii="Times New Roman" w:eastAsia="Times New Roman"/>
                <w:b/>
                <w:color w:val="00000A"/>
                <w:kern w:val="0"/>
                <w:sz w:val="16"/>
                <w:szCs w:val="16"/>
              </w:rPr>
            </w:pPr>
            <w:r>
              <w:rPr>
                <w:rFonts w:ascii="Times New Roman"/>
                <w:b/>
                <w:color w:val="00000A"/>
                <w:sz w:val="16"/>
                <w:szCs w:val="16"/>
              </w:rPr>
              <w:t xml:space="preserve">Sabine </w:t>
            </w:r>
            <w:r>
              <w:rPr>
                <w:rFonts w:ascii="Times New Roman"/>
                <w:b/>
                <w:snapToGrid w:val="0"/>
                <w:sz w:val="16"/>
              </w:rPr>
              <w:t>Riedel</w:t>
            </w:r>
          </w:p>
          <w:p w14:paraId="21929E5E"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rPr>
            </w:pPr>
            <w:r>
              <w:rPr>
                <w:rFonts w:ascii="Times New Roman"/>
                <w:color w:val="00000A"/>
                <w:sz w:val="16"/>
                <w:szCs w:val="16"/>
              </w:rPr>
              <w:t>PR-Manager</w:t>
            </w:r>
          </w:p>
          <w:p w14:paraId="10D23C4A" w14:textId="77777777"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rPr>
            </w:pPr>
            <w:r>
              <w:rPr>
                <w:rFonts w:ascii="Times New Roman"/>
                <w:color w:val="00000A"/>
                <w:sz w:val="16"/>
                <w:szCs w:val="16"/>
              </w:rPr>
              <w:t xml:space="preserve">Tel.: +49 (0) 6102 8149 </w:t>
            </w:r>
            <w:r>
              <w:rPr>
                <w:rFonts w:ascii="Times New Roman"/>
                <w:snapToGrid w:val="0"/>
                <w:color w:val="00000A"/>
                <w:sz w:val="16"/>
                <w:szCs w:val="16"/>
              </w:rPr>
              <w:t>– 174</w:t>
            </w:r>
          </w:p>
          <w:p w14:paraId="6C5FA8F0" w14:textId="77777777" w:rsidR="0093624E" w:rsidRPr="00B737A9" w:rsidRDefault="002C294F" w:rsidP="0093624E">
            <w:pPr>
              <w:ind w:rightChars="56" w:right="112"/>
              <w:rPr>
                <w:rFonts w:ascii="Times New Roman"/>
                <w:sz w:val="16"/>
                <w:szCs w:val="16"/>
              </w:rPr>
            </w:pPr>
            <w:hyperlink r:id="rId10" w:history="1">
              <w:r w:rsidR="00D04A47">
                <w:rPr>
                  <w:rStyle w:val="Hyperlink"/>
                  <w:rFonts w:ascii="Times New Roman"/>
                  <w:sz w:val="16"/>
                  <w:szCs w:val="16"/>
                </w:rPr>
                <w:t>s.riedel@hankookreifen.de</w:t>
              </w:r>
            </w:hyperlink>
            <w:r w:rsidR="00D04A47">
              <w:rPr>
                <w:rFonts w:ascii="Times New Roman"/>
                <w:color w:val="00000A"/>
                <w:sz w:val="16"/>
                <w:szCs w:val="16"/>
              </w:rPr>
              <w:t xml:space="preserve"> </w:t>
            </w:r>
          </w:p>
        </w:tc>
        <w:tc>
          <w:tcPr>
            <w:tcW w:w="1562" w:type="dxa"/>
            <w:shd w:val="clear" w:color="auto" w:fill="F2F2F2"/>
          </w:tcPr>
          <w:p w14:paraId="2CE0F906" w14:textId="77777777" w:rsidR="0093624E" w:rsidRPr="00B737A9"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14:paraId="4DBE1C24" w14:textId="77777777" w:rsidR="0093624E" w:rsidRPr="00B737A9" w:rsidRDefault="0093624E" w:rsidP="0093624E">
            <w:pPr>
              <w:spacing w:line="200" w:lineRule="exact"/>
              <w:ind w:left="142" w:rightChars="56" w:right="112"/>
              <w:rPr>
                <w:rFonts w:ascii="Arial" w:hAnsi="Arial" w:cs="Arial"/>
                <w:sz w:val="21"/>
                <w:szCs w:val="21"/>
                <w:lang w:val="de-DE"/>
              </w:rPr>
            </w:pPr>
          </w:p>
        </w:tc>
      </w:tr>
    </w:tbl>
    <w:p w14:paraId="71BA8B19" w14:textId="77777777" w:rsidR="00B373A6" w:rsidRPr="00B737A9" w:rsidRDefault="00B373A6" w:rsidP="00E00A32">
      <w:pPr>
        <w:widowControl/>
        <w:wordWrap/>
        <w:autoSpaceDE/>
        <w:autoSpaceDN/>
        <w:ind w:leftChars="71" w:left="142" w:rightChars="56" w:right="112"/>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0785" w14:textId="77777777" w:rsidR="002C294F" w:rsidRDefault="002C294F">
      <w:r>
        <w:separator/>
      </w:r>
    </w:p>
  </w:endnote>
  <w:endnote w:type="continuationSeparator" w:id="0">
    <w:p w14:paraId="05978933" w14:textId="77777777" w:rsidR="002C294F" w:rsidRDefault="002C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EB18" w14:textId="77777777" w:rsidR="002C294F" w:rsidRDefault="002C294F">
      <w:r>
        <w:separator/>
      </w:r>
    </w:p>
  </w:footnote>
  <w:footnote w:type="continuationSeparator" w:id="0">
    <w:p w14:paraId="16D363C2" w14:textId="77777777" w:rsidR="002C294F" w:rsidRDefault="002C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29CE" w14:textId="77777777" w:rsidR="005C05F6" w:rsidRPr="007E3E56" w:rsidRDefault="005C57F1" w:rsidP="001F1E90">
    <w:pPr>
      <w:pStyle w:val="Kopfzeile"/>
      <w:rPr>
        <w:noProof/>
      </w:rPr>
    </w:pPr>
    <w:r>
      <w:rPr>
        <w:noProof/>
      </w:rPr>
      <w:drawing>
        <wp:inline distT="0" distB="0" distL="0" distR="0" wp14:anchorId="7C60315D" wp14:editId="1152A936">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C00EE"/>
    <w:rsid w:val="002C294F"/>
    <w:rsid w:val="002C653A"/>
    <w:rsid w:val="002D0C91"/>
    <w:rsid w:val="002D10E3"/>
    <w:rsid w:val="002D2466"/>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4A6"/>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4365"/>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345"/>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700"/>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C9D6"/>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nl-NL"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UnresolvedMention1">
    <w:name w:val="Unresolved Mention1"/>
    <w:basedOn w:val="Absatz-Standardschriftart"/>
    <w:uiPriority w:val="99"/>
    <w:semiHidden/>
    <w:unhideWhenUsed/>
    <w:rsid w:val="0093624E"/>
    <w:rPr>
      <w:color w:val="605E5C"/>
      <w:shd w:val="clear" w:color="auto" w:fill="E1DFDD"/>
    </w:rPr>
  </w:style>
  <w:style w:type="character" w:styleId="NichtaufgelsteErwhnung">
    <w:name w:val="Unresolved Mention"/>
    <w:basedOn w:val="Absatz-Standardschriftart"/>
    <w:uiPriority w:val="99"/>
    <w:semiHidden/>
    <w:unhideWhenUsed/>
    <w:rsid w:val="00E7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49988">
      <w:bodyDiv w:val="1"/>
      <w:marLeft w:val="0"/>
      <w:marRight w:val="0"/>
      <w:marTop w:val="0"/>
      <w:marBottom w:val="0"/>
      <w:divBdr>
        <w:top w:val="none" w:sz="0" w:space="0" w:color="auto"/>
        <w:left w:val="none" w:sz="0" w:space="0" w:color="auto"/>
        <w:bottom w:val="none" w:sz="0" w:space="0" w:color="auto"/>
        <w:right w:val="none" w:sz="0" w:space="0" w:color="auto"/>
      </w:divBdr>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18800074">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B255-BC7B-46BF-A27F-EDF58545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5437</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5</cp:revision>
  <cp:lastPrinted>2018-08-02T16:23:00Z</cp:lastPrinted>
  <dcterms:created xsi:type="dcterms:W3CDTF">2018-08-10T06:57:00Z</dcterms:created>
  <dcterms:modified xsi:type="dcterms:W3CDTF">2018-08-10T07:20:00Z</dcterms:modified>
</cp:coreProperties>
</file>