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D7" w:rsidRDefault="00C764D7" w:rsidP="00C735D8">
      <w:pPr>
        <w:tabs>
          <w:tab w:val="left" w:pos="360"/>
        </w:tabs>
        <w:suppressAutoHyphens/>
        <w:wordWrap/>
        <w:snapToGrid w:val="0"/>
        <w:jc w:val="center"/>
        <w:rPr>
          <w:rFonts w:ascii="Helvetica" w:hAnsi="Helvetica"/>
          <w:b/>
          <w:snapToGrid w:val="0"/>
          <w:color w:val="FF6600"/>
          <w:kern w:val="18"/>
          <w:sz w:val="32"/>
        </w:rPr>
      </w:pPr>
    </w:p>
    <w:p w:rsidR="00C735D8" w:rsidRDefault="00C735D8" w:rsidP="00C735D8">
      <w:pPr>
        <w:tabs>
          <w:tab w:val="left" w:pos="360"/>
        </w:tabs>
        <w:suppressAutoHyphens/>
        <w:wordWrap/>
        <w:snapToGrid w:val="0"/>
        <w:jc w:val="center"/>
        <w:rPr>
          <w:rFonts w:ascii="Helvetica" w:hAnsi="Helvetica"/>
          <w:b/>
          <w:snapToGrid w:val="0"/>
          <w:color w:val="FF6600"/>
          <w:kern w:val="18"/>
          <w:sz w:val="32"/>
        </w:rPr>
      </w:pPr>
      <w:r>
        <w:rPr>
          <w:rFonts w:ascii="Helvetica" w:hAnsi="Helvetica"/>
          <w:b/>
          <w:snapToGrid w:val="0"/>
          <w:color w:val="FF6600"/>
          <w:sz w:val="32"/>
        </w:rPr>
        <w:t>Hankook Tire publiceert de we</w:t>
      </w:r>
      <w:r w:rsidR="009C50CF">
        <w:rPr>
          <w:rFonts w:ascii="Helvetica" w:hAnsi="Helvetica"/>
          <w:b/>
          <w:snapToGrid w:val="0"/>
          <w:color w:val="FF6600"/>
          <w:sz w:val="32"/>
        </w:rPr>
        <w:t xml:space="preserve">reldwijde financiële resultaten </w:t>
      </w:r>
      <w:r>
        <w:rPr>
          <w:rFonts w:ascii="Helvetica" w:hAnsi="Helvetica"/>
          <w:b/>
          <w:snapToGrid w:val="0"/>
          <w:color w:val="FF6600"/>
          <w:sz w:val="32"/>
        </w:rPr>
        <w:t>2017</w:t>
      </w:r>
    </w:p>
    <w:p w:rsidR="00C735D8" w:rsidRDefault="00C735D8" w:rsidP="00C735D8">
      <w:pPr>
        <w:tabs>
          <w:tab w:val="left" w:pos="360"/>
        </w:tabs>
        <w:suppressAutoHyphens/>
        <w:wordWrap/>
        <w:snapToGrid w:val="0"/>
        <w:jc w:val="center"/>
        <w:rPr>
          <w:rFonts w:ascii="Helvetica" w:hAnsi="Helvetica"/>
          <w:b/>
          <w:snapToGrid w:val="0"/>
          <w:color w:val="FF6600"/>
          <w:kern w:val="18"/>
          <w:sz w:val="32"/>
        </w:rPr>
      </w:pPr>
    </w:p>
    <w:p w:rsidR="00C735D8" w:rsidRPr="00F31AEC" w:rsidRDefault="00C735D8" w:rsidP="00C764D7">
      <w:pPr>
        <w:tabs>
          <w:tab w:val="left" w:pos="360"/>
        </w:tabs>
        <w:suppressAutoHyphens/>
        <w:wordWrap/>
        <w:snapToGrid w:val="0"/>
        <w:rPr>
          <w:rFonts w:ascii="Times New Roman"/>
          <w:b/>
          <w:snapToGrid w:val="0"/>
          <w:sz w:val="22"/>
          <w:szCs w:val="22"/>
        </w:rPr>
      </w:pPr>
    </w:p>
    <w:p w:rsidR="009F46D2" w:rsidRDefault="00A30768" w:rsidP="00CB1758">
      <w:pPr>
        <w:tabs>
          <w:tab w:val="left" w:pos="142"/>
        </w:tabs>
        <w:wordWrap/>
        <w:spacing w:line="276" w:lineRule="auto"/>
        <w:jc w:val="left"/>
        <w:rPr>
          <w:rFonts w:ascii="Times New Roman"/>
          <w:b/>
          <w:snapToGrid w:val="0"/>
          <w:sz w:val="22"/>
        </w:rPr>
      </w:pPr>
      <w:r>
        <w:rPr>
          <w:rFonts w:ascii="Times New Roman"/>
          <w:b/>
          <w:snapToGrid w:val="0"/>
          <w:sz w:val="22"/>
        </w:rPr>
        <w:t xml:space="preserve">Vergeleken met 2016 </w:t>
      </w:r>
      <w:r w:rsidR="009C50CF">
        <w:rPr>
          <w:rFonts w:ascii="Times New Roman"/>
          <w:b/>
          <w:snapToGrid w:val="0"/>
          <w:sz w:val="22"/>
        </w:rPr>
        <w:t>zijn</w:t>
      </w:r>
      <w:r>
        <w:rPr>
          <w:rFonts w:ascii="Times New Roman"/>
          <w:b/>
          <w:snapToGrid w:val="0"/>
          <w:sz w:val="22"/>
        </w:rPr>
        <w:t xml:space="preserve"> de verkoop</w:t>
      </w:r>
      <w:r w:rsidR="009C50CF">
        <w:rPr>
          <w:rFonts w:ascii="Times New Roman"/>
          <w:b/>
          <w:snapToGrid w:val="0"/>
          <w:sz w:val="22"/>
        </w:rPr>
        <w:t>aantallen</w:t>
      </w:r>
      <w:r>
        <w:rPr>
          <w:rFonts w:ascii="Times New Roman"/>
          <w:b/>
          <w:snapToGrid w:val="0"/>
          <w:sz w:val="22"/>
        </w:rPr>
        <w:t xml:space="preserve"> van het bedrijf in 2017 met 2,9% gestegen. Dit resultaat werd mede bereikt door de groei van het </w:t>
      </w:r>
      <w:r w:rsidR="009C50CF">
        <w:rPr>
          <w:rFonts w:ascii="Times New Roman"/>
          <w:b/>
          <w:snapToGrid w:val="0"/>
          <w:sz w:val="22"/>
        </w:rPr>
        <w:t xml:space="preserve">eerste montage </w:t>
      </w:r>
      <w:r>
        <w:rPr>
          <w:rFonts w:ascii="Times New Roman"/>
          <w:b/>
          <w:snapToGrid w:val="0"/>
          <w:sz w:val="22"/>
        </w:rPr>
        <w:t>segment en een groei van de ver</w:t>
      </w:r>
      <w:r>
        <w:rPr>
          <w:rFonts w:ascii="Times New Roman"/>
          <w:b/>
          <w:iCs/>
          <w:color w:val="000000" w:themeColor="text1"/>
          <w:sz w:val="22"/>
        </w:rPr>
        <w:t xml:space="preserve">koop van grotere banden beginnend bij de 17 inch </w:t>
      </w:r>
      <w:r>
        <w:rPr>
          <w:rFonts w:ascii="Times New Roman"/>
          <w:b/>
          <w:snapToGrid w:val="0"/>
          <w:sz w:val="22"/>
        </w:rPr>
        <w:t>en dan met name in Europa en de Verenigde Staten van Amerika</w:t>
      </w:r>
      <w:r w:rsidR="009C50CF">
        <w:rPr>
          <w:rFonts w:ascii="Times New Roman"/>
          <w:b/>
          <w:snapToGrid w:val="0"/>
          <w:sz w:val="22"/>
        </w:rPr>
        <w:t>.</w:t>
      </w:r>
    </w:p>
    <w:p w:rsidR="00C735D8" w:rsidRDefault="00C735D8" w:rsidP="00B749EB">
      <w:pPr>
        <w:tabs>
          <w:tab w:val="left" w:pos="142"/>
        </w:tabs>
        <w:wordWrap/>
        <w:spacing w:line="276" w:lineRule="auto"/>
        <w:rPr>
          <w:rFonts w:ascii="Times New Roman"/>
          <w:b/>
          <w:snapToGrid w:val="0"/>
          <w:sz w:val="22"/>
          <w:szCs w:val="22"/>
        </w:rPr>
      </w:pPr>
    </w:p>
    <w:p w:rsidR="00C735D8" w:rsidRPr="00C735D8" w:rsidRDefault="00DB793D" w:rsidP="00C735D8">
      <w:pPr>
        <w:tabs>
          <w:tab w:val="left" w:pos="142"/>
        </w:tabs>
        <w:wordWrap/>
        <w:spacing w:line="276" w:lineRule="auto"/>
        <w:rPr>
          <w:rFonts w:ascii="Times New Roman"/>
          <w:kern w:val="0"/>
          <w:sz w:val="21"/>
        </w:rPr>
      </w:pPr>
      <w:r>
        <w:rPr>
          <w:rFonts w:ascii="Times New Roman"/>
          <w:b/>
          <w:i/>
          <w:sz w:val="21"/>
        </w:rPr>
        <w:t xml:space="preserve">Seoul, Korea/Neu-Isenburg, Duitsland, </w:t>
      </w:r>
      <w:r w:rsidR="00B547E2">
        <w:rPr>
          <w:rFonts w:ascii="Times New Roman"/>
          <w:b/>
          <w:i/>
          <w:sz w:val="21"/>
        </w:rPr>
        <w:t>1</w:t>
      </w:r>
      <w:r w:rsidR="000D561A">
        <w:rPr>
          <w:rFonts w:ascii="Times New Roman"/>
          <w:b/>
          <w:i/>
          <w:sz w:val="21"/>
        </w:rPr>
        <w:t>4</w:t>
      </w:r>
      <w:r>
        <w:rPr>
          <w:rFonts w:ascii="Times New Roman"/>
          <w:b/>
          <w:i/>
          <w:sz w:val="21"/>
        </w:rPr>
        <w:t xml:space="preserve"> </w:t>
      </w:r>
      <w:r w:rsidR="00B547E2">
        <w:rPr>
          <w:rFonts w:ascii="Times New Roman"/>
          <w:b/>
          <w:i/>
          <w:sz w:val="21"/>
        </w:rPr>
        <w:t>februari</w:t>
      </w:r>
      <w:r>
        <w:rPr>
          <w:rFonts w:ascii="Times New Roman"/>
          <w:b/>
          <w:i/>
          <w:sz w:val="21"/>
        </w:rPr>
        <w:t xml:space="preserve"> 2017</w:t>
      </w:r>
      <w:r>
        <w:rPr>
          <w:rFonts w:ascii="Times New Roman"/>
          <w:sz w:val="21"/>
        </w:rPr>
        <w:t xml:space="preserve"> – </w:t>
      </w:r>
      <w:r w:rsidR="009C50CF">
        <w:rPr>
          <w:rFonts w:ascii="Times New Roman"/>
          <w:sz w:val="21"/>
        </w:rPr>
        <w:t>Premium bandenfabrikant, Hankook Tire</w:t>
      </w:r>
      <w:r>
        <w:rPr>
          <w:rFonts w:ascii="Times New Roman"/>
          <w:sz w:val="21"/>
        </w:rPr>
        <w:t xml:space="preserve"> maakt bekend dat de wereldwijde omzet in het fiscale jaar 2017 6,81 biljoen KRW (5,3</w:t>
      </w:r>
      <w:r w:rsidR="00AF1B87">
        <w:rPr>
          <w:rFonts w:ascii="Times New Roman"/>
          <w:sz w:val="21"/>
        </w:rPr>
        <w:t>4</w:t>
      </w:r>
      <w:r>
        <w:rPr>
          <w:rFonts w:ascii="Times New Roman"/>
          <w:sz w:val="21"/>
        </w:rPr>
        <w:t xml:space="preserve"> miljard Euro) bedraagt met een bedrijfsresultaat van 793,7 miljard KRW (621,8 miljoen Euro).</w:t>
      </w:r>
    </w:p>
    <w:p w:rsidR="00C735D8" w:rsidRPr="00C735D8" w:rsidRDefault="00C735D8" w:rsidP="00C735D8">
      <w:pPr>
        <w:tabs>
          <w:tab w:val="left" w:pos="142"/>
        </w:tabs>
        <w:wordWrap/>
        <w:spacing w:line="276" w:lineRule="auto"/>
        <w:rPr>
          <w:rFonts w:ascii="Times New Roman"/>
          <w:kern w:val="0"/>
          <w:sz w:val="21"/>
        </w:rPr>
      </w:pPr>
    </w:p>
    <w:p w:rsidR="00C735D8" w:rsidRPr="00C735D8" w:rsidRDefault="00407C1A" w:rsidP="00C735D8">
      <w:pPr>
        <w:tabs>
          <w:tab w:val="left" w:pos="142"/>
        </w:tabs>
        <w:wordWrap/>
        <w:spacing w:line="276" w:lineRule="auto"/>
        <w:rPr>
          <w:rFonts w:ascii="Times New Roman"/>
          <w:kern w:val="0"/>
          <w:sz w:val="21"/>
        </w:rPr>
      </w:pPr>
      <w:r>
        <w:rPr>
          <w:rFonts w:ascii="Times New Roman"/>
          <w:sz w:val="21"/>
        </w:rPr>
        <w:t>Vergeleken met 2016 is de verkoop met 2,9% gestegen. Deze groei is mede tot s</w:t>
      </w:r>
      <w:r w:rsidR="009C50CF">
        <w:rPr>
          <w:rFonts w:ascii="Times New Roman"/>
          <w:sz w:val="21"/>
        </w:rPr>
        <w:t>tand gekomen door de groei in</w:t>
      </w:r>
      <w:r>
        <w:rPr>
          <w:rFonts w:ascii="Times New Roman"/>
          <w:sz w:val="21"/>
        </w:rPr>
        <w:t xml:space="preserve"> verkoop </w:t>
      </w:r>
      <w:r w:rsidR="009C50CF">
        <w:rPr>
          <w:rFonts w:ascii="Times New Roman"/>
          <w:sz w:val="21"/>
        </w:rPr>
        <w:t>van grotere personenwagen</w:t>
      </w:r>
      <w:r>
        <w:rPr>
          <w:rFonts w:ascii="Times New Roman"/>
          <w:sz w:val="21"/>
        </w:rPr>
        <w:t>- en SUV-banden, b</w:t>
      </w:r>
      <w:r w:rsidR="009C50CF">
        <w:rPr>
          <w:rFonts w:ascii="Times New Roman"/>
          <w:sz w:val="21"/>
        </w:rPr>
        <w:t xml:space="preserve">eginnend bij de 17 inch </w:t>
      </w:r>
      <w:r>
        <w:rPr>
          <w:rFonts w:ascii="Times New Roman"/>
          <w:sz w:val="21"/>
        </w:rPr>
        <w:t>band met de wereldwijd beste technologie en kwaliteit. Daarnaast heeft een uitgebalanceerde groei in alle regio's hieraan bijgedragen. Het bedrijfsresultaat is met 28% verminderd, hetgeen mede werd veroorzaakt door hogere prijzen voor grondstoffen.</w:t>
      </w:r>
    </w:p>
    <w:p w:rsidR="00C735D8" w:rsidRPr="00C735D8" w:rsidRDefault="00C735D8" w:rsidP="00C735D8">
      <w:pPr>
        <w:tabs>
          <w:tab w:val="left" w:pos="142"/>
        </w:tabs>
        <w:wordWrap/>
        <w:spacing w:line="276" w:lineRule="auto"/>
        <w:rPr>
          <w:rFonts w:ascii="Times New Roman"/>
          <w:kern w:val="0"/>
          <w:sz w:val="21"/>
        </w:rPr>
      </w:pPr>
    </w:p>
    <w:p w:rsidR="00C735D8" w:rsidRPr="00C735D8" w:rsidRDefault="009C50CF" w:rsidP="00C735D8">
      <w:pPr>
        <w:tabs>
          <w:tab w:val="left" w:pos="142"/>
        </w:tabs>
        <w:wordWrap/>
        <w:spacing w:line="276" w:lineRule="auto"/>
        <w:rPr>
          <w:rFonts w:ascii="Times New Roman"/>
          <w:kern w:val="0"/>
          <w:sz w:val="21"/>
        </w:rPr>
      </w:pPr>
      <w:r>
        <w:rPr>
          <w:rFonts w:ascii="Times New Roman"/>
          <w:sz w:val="21"/>
        </w:rPr>
        <w:t>De verkoop van de grotere bandenmaten</w:t>
      </w:r>
      <w:r w:rsidR="00C735D8">
        <w:rPr>
          <w:rFonts w:ascii="Times New Roman"/>
          <w:sz w:val="21"/>
        </w:rPr>
        <w:t xml:space="preserve"> (groter dan 17 inch) is goed voor 48,4% van de totale verkoop. Dit is 3,9% meer dan vorig jaar, wat Hankook Tire tot een van de wereldwijd toonaangevende bedrijven maakt. De inspanningen van het bedrijf worden ondersteund door een toename in de levering van </w:t>
      </w:r>
      <w:r>
        <w:rPr>
          <w:rFonts w:ascii="Times New Roman"/>
          <w:sz w:val="21"/>
        </w:rPr>
        <w:t xml:space="preserve">eerste montage </w:t>
      </w:r>
      <w:r w:rsidR="00C735D8">
        <w:rPr>
          <w:rFonts w:ascii="Times New Roman"/>
          <w:sz w:val="21"/>
        </w:rPr>
        <w:t xml:space="preserve">banden en banden voor de vervangingsmarkt, speciaal in Europa en China. Bovendien is de verkoop van vervangingsbanden gegroeid door de uitbreiding van de distributiekanalen in Noord-Amerika en een toename van de levering van </w:t>
      </w:r>
      <w:r w:rsidR="00923436">
        <w:rPr>
          <w:rFonts w:ascii="Times New Roman"/>
          <w:sz w:val="21"/>
        </w:rPr>
        <w:t>eerste montage b</w:t>
      </w:r>
      <w:r w:rsidR="00C735D8">
        <w:rPr>
          <w:rFonts w:ascii="Times New Roman"/>
          <w:sz w:val="21"/>
        </w:rPr>
        <w:t>anden aan Japanse bedrijven. Dit alles heeft bijgedragen aan een positieve groei van de verkoop.</w:t>
      </w:r>
    </w:p>
    <w:p w:rsidR="00C735D8" w:rsidRPr="00C735D8" w:rsidRDefault="00C735D8" w:rsidP="00C735D8">
      <w:pPr>
        <w:tabs>
          <w:tab w:val="left" w:pos="142"/>
        </w:tabs>
        <w:wordWrap/>
        <w:spacing w:line="276" w:lineRule="auto"/>
        <w:rPr>
          <w:rFonts w:ascii="Times New Roman"/>
          <w:kern w:val="0"/>
          <w:sz w:val="21"/>
        </w:rPr>
      </w:pPr>
    </w:p>
    <w:p w:rsidR="00C764D7" w:rsidRDefault="00C735D8" w:rsidP="00C735D8">
      <w:pPr>
        <w:tabs>
          <w:tab w:val="left" w:pos="142"/>
        </w:tabs>
        <w:wordWrap/>
        <w:spacing w:line="276" w:lineRule="auto"/>
        <w:rPr>
          <w:rFonts w:ascii="Times New Roman" w:eastAsia="Times New Roman"/>
          <w:kern w:val="0"/>
          <w:sz w:val="21"/>
          <w:szCs w:val="21"/>
        </w:rPr>
      </w:pPr>
      <w:r>
        <w:rPr>
          <w:rFonts w:ascii="Times New Roman"/>
          <w:sz w:val="21"/>
        </w:rPr>
        <w:t>Met de doelstelling voor 2018 va</w:t>
      </w:r>
      <w:r w:rsidR="00923436">
        <w:rPr>
          <w:rFonts w:ascii="Times New Roman"/>
          <w:sz w:val="21"/>
        </w:rPr>
        <w:t>n een wereldwijde verkoop van KR</w:t>
      </w:r>
      <w:r>
        <w:rPr>
          <w:rFonts w:ascii="Times New Roman"/>
          <w:sz w:val="21"/>
        </w:rPr>
        <w:t xml:space="preserve">W 7,4 biljoen en </w:t>
      </w:r>
      <w:r w:rsidR="00923436">
        <w:rPr>
          <w:rFonts w:ascii="Times New Roman"/>
          <w:sz w:val="21"/>
        </w:rPr>
        <w:t xml:space="preserve">een </w:t>
      </w:r>
      <w:r>
        <w:rPr>
          <w:rFonts w:ascii="Times New Roman"/>
          <w:sz w:val="21"/>
        </w:rPr>
        <w:t xml:space="preserve">bedrijfsresultaat van KRW 1,02 biljoen, wil Hankook Tire zich richten op een verbetering van de positie van het bedrijf als een toonaangevend merk door de concurrerende producten te verbeteren, de verkoop van grote bandenmaten op de belangrijkste markten te vergroten en het voortdurend leveren van </w:t>
      </w:r>
      <w:r w:rsidR="00923436">
        <w:rPr>
          <w:rFonts w:ascii="Times New Roman"/>
          <w:sz w:val="21"/>
        </w:rPr>
        <w:t xml:space="preserve">eerste montage </w:t>
      </w:r>
      <w:r>
        <w:rPr>
          <w:rFonts w:ascii="Times New Roman"/>
          <w:sz w:val="21"/>
        </w:rPr>
        <w:t>banden voor nieuwe modellen van de belan</w:t>
      </w:r>
      <w:r w:rsidR="00923436">
        <w:rPr>
          <w:rFonts w:ascii="Times New Roman"/>
          <w:sz w:val="21"/>
        </w:rPr>
        <w:t>grijke toonaangevende auto</w:t>
      </w:r>
      <w:r>
        <w:rPr>
          <w:rFonts w:ascii="Times New Roman"/>
          <w:sz w:val="21"/>
        </w:rPr>
        <w:t>me</w:t>
      </w:r>
      <w:r w:rsidR="00923436">
        <w:rPr>
          <w:rFonts w:ascii="Times New Roman"/>
          <w:sz w:val="21"/>
        </w:rPr>
        <w:t xml:space="preserve">rken. Bovendien wil het bedrijf een gevariëerd eerste montage </w:t>
      </w:r>
      <w:r>
        <w:rPr>
          <w:rFonts w:ascii="Times New Roman"/>
          <w:sz w:val="21"/>
        </w:rPr>
        <w:t xml:space="preserve">portfolio </w:t>
      </w:r>
      <w:r w:rsidR="004B0793">
        <w:rPr>
          <w:rFonts w:ascii="Times New Roman"/>
          <w:sz w:val="21"/>
        </w:rPr>
        <w:t>gaan aanbieden</w:t>
      </w:r>
      <w:r>
        <w:rPr>
          <w:rFonts w:ascii="Times New Roman"/>
          <w:sz w:val="21"/>
        </w:rPr>
        <w:t xml:space="preserve"> om een stabiel verdienmodel te kunnen realiseren. Tevens zal Hankook elke regionale distributiestrategie optimaliseren.</w:t>
      </w:r>
    </w:p>
    <w:p w:rsidR="00B749EB" w:rsidRDefault="00B749EB" w:rsidP="00C764D7">
      <w:pPr>
        <w:tabs>
          <w:tab w:val="left" w:pos="142"/>
        </w:tabs>
        <w:wordWrap/>
        <w:rPr>
          <w:rFonts w:ascii="Times New Roman" w:eastAsia="Times New Roman"/>
          <w:kern w:val="0"/>
          <w:sz w:val="21"/>
          <w:szCs w:val="21"/>
        </w:rPr>
      </w:pPr>
    </w:p>
    <w:p w:rsidR="00B749EB" w:rsidRDefault="00B749EB" w:rsidP="00C764D7">
      <w:pPr>
        <w:tabs>
          <w:tab w:val="left" w:pos="142"/>
        </w:tabs>
        <w:wordWrap/>
        <w:rPr>
          <w:rFonts w:ascii="Times New Roman" w:eastAsia="Times New Roman"/>
          <w:kern w:val="0"/>
          <w:sz w:val="21"/>
          <w:szCs w:val="21"/>
        </w:rPr>
      </w:pPr>
    </w:p>
    <w:p w:rsidR="00C764D7" w:rsidRPr="00F31AEC" w:rsidRDefault="00C764D7" w:rsidP="00C764D7">
      <w:pPr>
        <w:tabs>
          <w:tab w:val="left" w:pos="142"/>
        </w:tabs>
        <w:wordWrap/>
        <w:rPr>
          <w:rFonts w:ascii="Times New Roman" w:eastAsia="Times New Roman"/>
          <w:kern w:val="0"/>
          <w:sz w:val="21"/>
          <w:szCs w:val="21"/>
        </w:rPr>
      </w:pPr>
    </w:p>
    <w:p w:rsidR="00C764D7" w:rsidRPr="00A731B2" w:rsidRDefault="00C764D7" w:rsidP="00C764D7">
      <w:pPr>
        <w:tabs>
          <w:tab w:val="left" w:pos="142"/>
        </w:tabs>
        <w:wordWrap/>
        <w:jc w:val="center"/>
        <w:rPr>
          <w:rFonts w:ascii="Times New Roman" w:eastAsia="Times New Roman"/>
          <w:kern w:val="0"/>
          <w:sz w:val="21"/>
          <w:szCs w:val="21"/>
        </w:rPr>
      </w:pPr>
      <w:r>
        <w:rPr>
          <w:rFonts w:ascii="Times New Roman"/>
          <w:sz w:val="21"/>
        </w:rPr>
        <w:t>###</w:t>
      </w:r>
    </w:p>
    <w:p w:rsidR="00C735D8" w:rsidRDefault="00C735D8" w:rsidP="00C764D7">
      <w:pPr>
        <w:widowControl/>
        <w:wordWrap/>
        <w:autoSpaceDE/>
        <w:autoSpaceDN/>
        <w:spacing w:after="200" w:line="276" w:lineRule="auto"/>
        <w:jc w:val="left"/>
        <w:rPr>
          <w:rFonts w:ascii="Times New Roman" w:eastAsia="Calibri"/>
          <w:b/>
          <w:bCs/>
          <w:kern w:val="0"/>
          <w:sz w:val="21"/>
          <w:szCs w:val="21"/>
        </w:rPr>
      </w:pPr>
      <w:r>
        <w:br w:type="page"/>
      </w:r>
    </w:p>
    <w:p w:rsidR="00EC6A63" w:rsidRPr="00C735D8" w:rsidRDefault="00EC6A63" w:rsidP="00EC6A63">
      <w:pPr>
        <w:wordWrap/>
        <w:snapToGrid w:val="0"/>
        <w:ind w:rightChars="56" w:right="112"/>
        <w:rPr>
          <w:rFonts w:ascii="Arial" w:hAnsi="Arial" w:cs="Arial"/>
          <w:b/>
          <w:kern w:val="0"/>
          <w:sz w:val="22"/>
          <w:szCs w:val="22"/>
        </w:rPr>
      </w:pPr>
      <w:r w:rsidRPr="00C735D8">
        <w:rPr>
          <w:rFonts w:ascii="Arial" w:hAnsi="Arial" w:cs="Arial"/>
          <w:b/>
          <w:kern w:val="0"/>
          <w:sz w:val="22"/>
          <w:szCs w:val="22"/>
        </w:rPr>
        <w:lastRenderedPageBreak/>
        <w:t>Q4 2017 Consolidated Financial Result</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C6A63" w:rsidRPr="00C735D8" w:rsidTr="00DB1BDF">
        <w:trPr>
          <w:trHeight w:val="362"/>
        </w:trPr>
        <w:tc>
          <w:tcPr>
            <w:tcW w:w="2587" w:type="dxa"/>
            <w:tcBorders>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(Unit: Billion KRW)</w:t>
            </w:r>
          </w:p>
        </w:tc>
        <w:tc>
          <w:tcPr>
            <w:tcW w:w="2587" w:type="dxa"/>
            <w:tcBorders>
              <w:bottom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2016</w:t>
            </w:r>
          </w:p>
        </w:tc>
        <w:tc>
          <w:tcPr>
            <w:tcW w:w="2587" w:type="dxa"/>
            <w:tcBorders>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Q3 FY 2017</w:t>
            </w:r>
          </w:p>
        </w:tc>
        <w:tc>
          <w:tcPr>
            <w:tcW w:w="2587" w:type="dxa"/>
            <w:tcBorders>
              <w:bottom w:val="double" w:sz="4" w:space="0" w:color="auto"/>
              <w:right w:val="nil"/>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2017</w:t>
            </w:r>
          </w:p>
        </w:tc>
      </w:tr>
      <w:tr w:rsidR="00EC6A63" w:rsidRPr="00C735D8" w:rsidTr="00DB1BDF">
        <w:trPr>
          <w:trHeight w:val="362"/>
        </w:trPr>
        <w:tc>
          <w:tcPr>
            <w:tcW w:w="2587" w:type="dxa"/>
            <w:tcBorders>
              <w:top w:val="double" w:sz="4" w:space="0" w:color="auto"/>
              <w:right w:val="double" w:sz="4" w:space="0" w:color="auto"/>
            </w:tcBorders>
            <w:vAlign w:val="center"/>
          </w:tcPr>
          <w:p w:rsidR="00EC6A63" w:rsidRPr="00C735D8" w:rsidRDefault="00EC6A63" w:rsidP="00DB1BDF">
            <w:pPr>
              <w:wordWrap/>
              <w:snapToGrid w:val="0"/>
              <w:ind w:rightChars="56" w:right="112"/>
              <w:jc w:val="center"/>
              <w:rPr>
                <w:rFonts w:ascii="Arial" w:hAnsi="Arial" w:cs="Arial"/>
                <w:b/>
                <w:color w:val="000000" w:themeColor="text1"/>
                <w:kern w:val="0"/>
                <w:sz w:val="22"/>
                <w:szCs w:val="22"/>
              </w:rPr>
            </w:pPr>
            <w:r w:rsidRPr="00C735D8">
              <w:rPr>
                <w:rFonts w:ascii="Arial" w:hAnsi="Arial" w:cs="Arial"/>
                <w:b/>
                <w:color w:val="000000" w:themeColor="text1"/>
                <w:kern w:val="0"/>
                <w:sz w:val="22"/>
                <w:szCs w:val="22"/>
              </w:rPr>
              <w:t>Sales</w:t>
            </w:r>
          </w:p>
        </w:tc>
        <w:tc>
          <w:tcPr>
            <w:tcW w:w="2587" w:type="dxa"/>
            <w:tcBorders>
              <w:top w:val="double" w:sz="4" w:space="0" w:color="auto"/>
            </w:tcBorders>
          </w:tcPr>
          <w:p w:rsidR="00EC6A63" w:rsidRPr="00C735D8" w:rsidRDefault="00EC6A63" w:rsidP="00DB1BDF">
            <w:pPr>
              <w:jc w:val="center"/>
              <w:rPr>
                <w:rFonts w:ascii="Arial" w:hAnsi="Arial" w:cs="Arial"/>
                <w:b/>
                <w:color w:val="000000" w:themeColor="text1"/>
                <w:sz w:val="22"/>
                <w:szCs w:val="22"/>
              </w:rPr>
            </w:pPr>
            <w:r w:rsidRPr="00C735D8">
              <w:rPr>
                <w:rFonts w:ascii="Arial" w:hAnsi="Arial" w:cs="Arial"/>
                <w:b/>
                <w:color w:val="000000" w:themeColor="text1"/>
                <w:sz w:val="22"/>
                <w:szCs w:val="22"/>
              </w:rPr>
              <w:t>1,610.6</w:t>
            </w:r>
          </w:p>
        </w:tc>
        <w:tc>
          <w:tcPr>
            <w:tcW w:w="2587" w:type="dxa"/>
            <w:tcBorders>
              <w:top w:val="double" w:sz="4" w:space="0" w:color="auto"/>
              <w:right w:val="double" w:sz="4" w:space="0" w:color="auto"/>
            </w:tcBorders>
            <w:shd w:val="clear" w:color="auto" w:fill="auto"/>
          </w:tcPr>
          <w:p w:rsidR="00EC6A63" w:rsidRPr="00C735D8" w:rsidRDefault="00EC6A63" w:rsidP="00DB1BDF">
            <w:pPr>
              <w:jc w:val="center"/>
              <w:rPr>
                <w:rFonts w:ascii="Arial" w:hAnsi="Arial" w:cs="Arial"/>
                <w:b/>
                <w:color w:val="000000" w:themeColor="text1"/>
                <w:sz w:val="22"/>
                <w:szCs w:val="22"/>
              </w:rPr>
            </w:pPr>
            <w:r w:rsidRPr="00C735D8">
              <w:rPr>
                <w:rFonts w:ascii="Arial" w:hAnsi="Arial" w:cs="Arial"/>
                <w:b/>
                <w:color w:val="000000" w:themeColor="text1"/>
                <w:sz w:val="22"/>
                <w:szCs w:val="22"/>
              </w:rPr>
              <w:t>1,824.5</w:t>
            </w:r>
          </w:p>
        </w:tc>
        <w:tc>
          <w:tcPr>
            <w:tcW w:w="2587" w:type="dxa"/>
            <w:tcBorders>
              <w:top w:val="double" w:sz="4" w:space="0" w:color="auto"/>
              <w:right w:val="nil"/>
            </w:tcBorders>
            <w:vAlign w:val="center"/>
          </w:tcPr>
          <w:p w:rsidR="00EC6A63" w:rsidRPr="00C735D8" w:rsidRDefault="00EC6A63" w:rsidP="00DB1BDF">
            <w:pPr>
              <w:jc w:val="center"/>
              <w:rPr>
                <w:rFonts w:ascii="Arial" w:hAnsi="Arial" w:cs="Arial"/>
                <w:b/>
                <w:color w:val="000000" w:themeColor="text1"/>
                <w:sz w:val="22"/>
                <w:szCs w:val="22"/>
              </w:rPr>
            </w:pPr>
            <w:r w:rsidRPr="00C735D8">
              <w:rPr>
                <w:rFonts w:ascii="Arial" w:hAnsi="Arial" w:cs="Arial"/>
                <w:b/>
                <w:color w:val="000000" w:themeColor="text1"/>
                <w:sz w:val="22"/>
                <w:szCs w:val="22"/>
              </w:rPr>
              <w:t>1,682.8</w:t>
            </w:r>
          </w:p>
        </w:tc>
      </w:tr>
      <w:tr w:rsidR="00EC6A63" w:rsidRPr="00C735D8" w:rsidTr="00DB1BDF">
        <w:trPr>
          <w:trHeight w:val="362"/>
        </w:trPr>
        <w:tc>
          <w:tcPr>
            <w:tcW w:w="2587" w:type="dxa"/>
            <w:tcBorders>
              <w:right w:val="double" w:sz="4" w:space="0" w:color="auto"/>
            </w:tcBorders>
            <w:vAlign w:val="center"/>
          </w:tcPr>
          <w:p w:rsidR="00EC6A63" w:rsidRPr="00C735D8" w:rsidRDefault="00EC6A63" w:rsidP="00DB1BDF">
            <w:pPr>
              <w:wordWrap/>
              <w:snapToGrid w:val="0"/>
              <w:ind w:rightChars="56" w:right="112"/>
              <w:jc w:val="center"/>
              <w:rPr>
                <w:rFonts w:ascii="Arial" w:hAnsi="Arial" w:cs="Arial"/>
                <w:b/>
                <w:color w:val="000000" w:themeColor="text1"/>
                <w:kern w:val="0"/>
                <w:sz w:val="22"/>
                <w:szCs w:val="22"/>
              </w:rPr>
            </w:pPr>
            <w:r w:rsidRPr="00C735D8">
              <w:rPr>
                <w:rFonts w:ascii="Arial" w:hAnsi="Arial" w:cs="Arial"/>
                <w:b/>
                <w:color w:val="000000" w:themeColor="text1"/>
                <w:kern w:val="0"/>
                <w:sz w:val="22"/>
                <w:szCs w:val="22"/>
              </w:rPr>
              <w:t>Operating Profit</w:t>
            </w:r>
          </w:p>
        </w:tc>
        <w:tc>
          <w:tcPr>
            <w:tcW w:w="2587" w:type="dxa"/>
          </w:tcPr>
          <w:p w:rsidR="00EC6A63" w:rsidRPr="00C735D8" w:rsidRDefault="00EC6A63" w:rsidP="00DB1BDF">
            <w:pPr>
              <w:jc w:val="center"/>
              <w:rPr>
                <w:rFonts w:ascii="Arial" w:hAnsi="Arial" w:cs="Arial"/>
                <w:b/>
                <w:color w:val="000000" w:themeColor="text1"/>
                <w:sz w:val="22"/>
                <w:szCs w:val="22"/>
              </w:rPr>
            </w:pPr>
            <w:r w:rsidRPr="00C735D8">
              <w:rPr>
                <w:rFonts w:ascii="Arial" w:hAnsi="Arial" w:cs="Arial"/>
                <w:b/>
                <w:color w:val="000000" w:themeColor="text1"/>
                <w:sz w:val="22"/>
                <w:szCs w:val="22"/>
              </w:rPr>
              <w:t>239.2</w:t>
            </w:r>
          </w:p>
        </w:tc>
        <w:tc>
          <w:tcPr>
            <w:tcW w:w="2587" w:type="dxa"/>
            <w:tcBorders>
              <w:right w:val="double" w:sz="4" w:space="0" w:color="auto"/>
            </w:tcBorders>
            <w:shd w:val="clear" w:color="auto" w:fill="auto"/>
          </w:tcPr>
          <w:p w:rsidR="00EC6A63" w:rsidRPr="00C735D8" w:rsidRDefault="00EC6A63" w:rsidP="00DB1BDF">
            <w:pPr>
              <w:jc w:val="center"/>
              <w:rPr>
                <w:rFonts w:ascii="Arial" w:hAnsi="Arial" w:cs="Arial"/>
                <w:b/>
                <w:color w:val="000000" w:themeColor="text1"/>
                <w:sz w:val="22"/>
                <w:szCs w:val="22"/>
              </w:rPr>
            </w:pPr>
            <w:r w:rsidRPr="00C735D8">
              <w:rPr>
                <w:rFonts w:ascii="Arial" w:hAnsi="Arial" w:cs="Arial"/>
                <w:b/>
                <w:color w:val="000000" w:themeColor="text1"/>
                <w:sz w:val="22"/>
                <w:szCs w:val="22"/>
              </w:rPr>
              <w:t>217.1</w:t>
            </w:r>
          </w:p>
        </w:tc>
        <w:tc>
          <w:tcPr>
            <w:tcW w:w="2587" w:type="dxa"/>
            <w:tcBorders>
              <w:right w:val="nil"/>
            </w:tcBorders>
            <w:vAlign w:val="center"/>
          </w:tcPr>
          <w:p w:rsidR="00EC6A63" w:rsidRPr="00C735D8" w:rsidRDefault="00EC6A63" w:rsidP="00DB1BDF">
            <w:pPr>
              <w:jc w:val="center"/>
              <w:rPr>
                <w:rFonts w:ascii="Arial" w:hAnsi="Arial" w:cs="Arial"/>
                <w:b/>
                <w:color w:val="000000" w:themeColor="text1"/>
                <w:sz w:val="22"/>
                <w:szCs w:val="22"/>
              </w:rPr>
            </w:pPr>
            <w:r w:rsidRPr="00C735D8">
              <w:rPr>
                <w:rFonts w:ascii="Arial" w:hAnsi="Arial" w:cs="Arial"/>
                <w:b/>
                <w:color w:val="000000" w:themeColor="text1"/>
                <w:sz w:val="22"/>
                <w:szCs w:val="22"/>
              </w:rPr>
              <w:t>139.7</w:t>
            </w:r>
          </w:p>
        </w:tc>
      </w:tr>
    </w:tbl>
    <w:p w:rsidR="00EC6A63" w:rsidRPr="00C735D8" w:rsidRDefault="00EC6A63" w:rsidP="00EC6A63">
      <w:pPr>
        <w:rPr>
          <w:rFonts w:ascii="Arial" w:hAnsi="Arial" w:cs="Arial"/>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C6A63" w:rsidRPr="00C735D8" w:rsidTr="00DB1BDF">
        <w:trPr>
          <w:trHeight w:val="363"/>
        </w:trPr>
        <w:tc>
          <w:tcPr>
            <w:tcW w:w="2587" w:type="dxa"/>
            <w:tcBorders>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2017</w:t>
            </w:r>
          </w:p>
        </w:tc>
      </w:tr>
      <w:tr w:rsidR="00EC6A63" w:rsidRPr="00C735D8" w:rsidTr="00DB1BDF">
        <w:trPr>
          <w:trHeight w:val="363"/>
        </w:trPr>
        <w:tc>
          <w:tcPr>
            <w:tcW w:w="2587" w:type="dxa"/>
            <w:tcBorders>
              <w:top w:val="double" w:sz="4" w:space="0" w:color="auto"/>
              <w:bottom w:val="single" w:sz="4" w:space="0" w:color="auto"/>
              <w:right w:val="double" w:sz="4" w:space="0" w:color="auto"/>
            </w:tcBorders>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1,391.6</w:t>
            </w:r>
          </w:p>
        </w:tc>
        <w:tc>
          <w:tcPr>
            <w:tcW w:w="2587" w:type="dxa"/>
            <w:tcBorders>
              <w:top w:val="double" w:sz="4" w:space="0" w:color="auto"/>
              <w:left w:val="double" w:sz="4" w:space="0" w:color="auto"/>
              <w:bottom w:val="single" w:sz="4" w:space="0" w:color="auto"/>
              <w:right w:val="double" w:sz="4" w:space="0" w:color="auto"/>
            </w:tcBorders>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1611.41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1521.90</w:t>
            </w:r>
          </w:p>
        </w:tc>
      </w:tr>
      <w:tr w:rsidR="00EC6A63" w:rsidRPr="00C735D8" w:rsidTr="00DB1BDF">
        <w:trPr>
          <w:trHeight w:val="363"/>
        </w:trPr>
        <w:tc>
          <w:tcPr>
            <w:tcW w:w="2587" w:type="dxa"/>
            <w:tcBorders>
              <w:bottom w:val="single" w:sz="4" w:space="0" w:color="auto"/>
              <w:right w:val="double" w:sz="4" w:space="0" w:color="auto"/>
            </w:tcBorders>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Operating Profit</w:t>
            </w:r>
          </w:p>
        </w:tc>
        <w:tc>
          <w:tcPr>
            <w:tcW w:w="2587" w:type="dxa"/>
            <w:tcBorders>
              <w:left w:val="double" w:sz="4" w:space="0" w:color="auto"/>
              <w:bottom w:val="single" w:sz="4" w:space="0" w:color="auto"/>
              <w:right w:val="double" w:sz="4" w:space="0" w:color="auto"/>
            </w:tcBorders>
            <w:shd w:val="clear" w:color="auto" w:fill="auto"/>
          </w:tcPr>
          <w:p w:rsidR="00EC6A63" w:rsidRPr="00C735D8" w:rsidRDefault="00EC6A63" w:rsidP="00DB1BDF">
            <w:pPr>
              <w:jc w:val="center"/>
              <w:rPr>
                <w:rFonts w:ascii="Arial" w:hAnsi="Arial" w:cs="Arial"/>
                <w:b/>
                <w:kern w:val="0"/>
                <w:sz w:val="22"/>
                <w:szCs w:val="22"/>
              </w:rPr>
            </w:pPr>
            <w:r w:rsidRPr="00C735D8">
              <w:rPr>
                <w:rFonts w:ascii="Arial" w:hAnsi="Arial" w:cs="Arial"/>
                <w:b/>
                <w:kern w:val="0"/>
                <w:sz w:val="22"/>
                <w:szCs w:val="22"/>
              </w:rPr>
              <w:t>206.6</w:t>
            </w:r>
          </w:p>
        </w:tc>
        <w:tc>
          <w:tcPr>
            <w:tcW w:w="2587" w:type="dxa"/>
            <w:tcBorders>
              <w:left w:val="double" w:sz="4" w:space="0" w:color="auto"/>
              <w:bottom w:val="single" w:sz="4" w:space="0" w:color="auto"/>
              <w:right w:val="double" w:sz="4" w:space="0" w:color="auto"/>
            </w:tcBorders>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191.7</w:t>
            </w:r>
          </w:p>
        </w:tc>
        <w:tc>
          <w:tcPr>
            <w:tcW w:w="2587" w:type="dxa"/>
            <w:tcBorders>
              <w:left w:val="double" w:sz="4" w:space="0" w:color="auto"/>
              <w:bottom w:val="single" w:sz="4" w:space="0" w:color="auto"/>
              <w:right w:val="nil"/>
            </w:tcBorders>
            <w:shd w:val="clear" w:color="auto" w:fill="FFFFFF" w:themeFill="background1"/>
            <w:vAlign w:val="center"/>
          </w:tcPr>
          <w:p w:rsidR="00EC6A63" w:rsidRPr="00C735D8" w:rsidRDefault="00EC6A63" w:rsidP="00DB1BDF">
            <w:pPr>
              <w:jc w:val="center"/>
              <w:rPr>
                <w:rFonts w:ascii="Arial" w:hAnsi="Arial" w:cs="Arial"/>
                <w:b/>
                <w:kern w:val="0"/>
                <w:sz w:val="22"/>
                <w:szCs w:val="22"/>
              </w:rPr>
            </w:pPr>
            <w:r w:rsidRPr="00C735D8">
              <w:rPr>
                <w:rFonts w:ascii="Arial" w:eastAsia="Malgun Gothic" w:hAnsi="Arial" w:cs="Arial"/>
                <w:b/>
                <w:bCs/>
                <w:sz w:val="22"/>
                <w:szCs w:val="22"/>
              </w:rPr>
              <w:t>126.3</w:t>
            </w:r>
          </w:p>
        </w:tc>
      </w:tr>
    </w:tbl>
    <w:p w:rsidR="00EC6A63" w:rsidRPr="00C735D8" w:rsidRDefault="00EC6A63" w:rsidP="00EC6A63">
      <w:pPr>
        <w:rPr>
          <w:rFonts w:ascii="Arial" w:hAnsi="Arial" w:cs="Arial"/>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C6A63" w:rsidRPr="00C735D8" w:rsidTr="00DB1BDF">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2016</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Q3 FY 2017</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2017</w:t>
            </w:r>
          </w:p>
        </w:tc>
      </w:tr>
      <w:tr w:rsidR="00EC6A63" w:rsidRPr="00C735D8" w:rsidTr="00DB1BDF">
        <w:trPr>
          <w:trHeight w:val="363"/>
        </w:trPr>
        <w:tc>
          <w:tcPr>
            <w:tcW w:w="2587" w:type="dxa"/>
            <w:tcBorders>
              <w:top w:val="double" w:sz="4" w:space="0" w:color="auto"/>
              <w:right w:val="double" w:sz="4" w:space="0" w:color="auto"/>
            </w:tcBorders>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Sales</w:t>
            </w:r>
          </w:p>
        </w:tc>
        <w:tc>
          <w:tcPr>
            <w:tcW w:w="2587" w:type="dxa"/>
            <w:tcBorders>
              <w:top w:val="double" w:sz="4" w:space="0" w:color="auto"/>
              <w:left w:val="double" w:sz="4" w:space="0" w:color="auto"/>
              <w:right w:val="double" w:sz="4" w:space="0" w:color="auto"/>
            </w:tcBorders>
            <w:shd w:val="clear" w:color="auto" w:fill="auto"/>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1,291.5</w:t>
            </w:r>
          </w:p>
        </w:tc>
        <w:tc>
          <w:tcPr>
            <w:tcW w:w="2587" w:type="dxa"/>
            <w:tcBorders>
              <w:top w:val="double" w:sz="4" w:space="0" w:color="auto"/>
              <w:left w:val="double" w:sz="4" w:space="0" w:color="auto"/>
              <w:right w:val="double" w:sz="4" w:space="0" w:color="auto"/>
            </w:tcBorders>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1371.60</w:t>
            </w:r>
          </w:p>
        </w:tc>
        <w:tc>
          <w:tcPr>
            <w:tcW w:w="2587" w:type="dxa"/>
            <w:tcBorders>
              <w:top w:val="double" w:sz="4" w:space="0" w:color="auto"/>
              <w:left w:val="double" w:sz="4" w:space="0" w:color="auto"/>
              <w:right w:val="nil"/>
            </w:tcBorders>
            <w:shd w:val="clear" w:color="auto" w:fill="FFFFFF" w:themeFill="background1"/>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1292.66</w:t>
            </w:r>
          </w:p>
        </w:tc>
      </w:tr>
      <w:tr w:rsidR="00EC6A63" w:rsidRPr="00C735D8" w:rsidTr="00DB1BDF">
        <w:trPr>
          <w:trHeight w:val="363"/>
        </w:trPr>
        <w:tc>
          <w:tcPr>
            <w:tcW w:w="2587" w:type="dxa"/>
            <w:tcBorders>
              <w:right w:val="double" w:sz="4" w:space="0" w:color="auto"/>
            </w:tcBorders>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Operating Profit</w:t>
            </w:r>
          </w:p>
        </w:tc>
        <w:tc>
          <w:tcPr>
            <w:tcW w:w="2587" w:type="dxa"/>
            <w:tcBorders>
              <w:left w:val="double" w:sz="4" w:space="0" w:color="auto"/>
              <w:right w:val="double" w:sz="4" w:space="0" w:color="auto"/>
            </w:tcBorders>
            <w:shd w:val="clear" w:color="auto" w:fill="auto"/>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191.8</w:t>
            </w:r>
          </w:p>
        </w:tc>
        <w:tc>
          <w:tcPr>
            <w:tcW w:w="2587" w:type="dxa"/>
            <w:tcBorders>
              <w:left w:val="double" w:sz="4" w:space="0" w:color="auto"/>
              <w:right w:val="double" w:sz="4" w:space="0" w:color="auto"/>
            </w:tcBorders>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163.2</w:t>
            </w:r>
          </w:p>
        </w:tc>
        <w:tc>
          <w:tcPr>
            <w:tcW w:w="2587" w:type="dxa"/>
            <w:tcBorders>
              <w:left w:val="double" w:sz="4" w:space="0" w:color="auto"/>
              <w:right w:val="nil"/>
            </w:tcBorders>
            <w:shd w:val="clear" w:color="auto" w:fill="FFFFFF" w:themeFill="background1"/>
            <w:vAlign w:val="center"/>
          </w:tcPr>
          <w:p w:rsidR="00EC6A63" w:rsidRPr="00C735D8" w:rsidRDefault="00EC6A63" w:rsidP="00DB1BDF">
            <w:pPr>
              <w:jc w:val="center"/>
              <w:rPr>
                <w:rFonts w:ascii="Arial" w:hAnsi="Arial" w:cs="Arial"/>
                <w:b/>
                <w:sz w:val="22"/>
                <w:szCs w:val="22"/>
              </w:rPr>
            </w:pPr>
            <w:r w:rsidRPr="00C735D8">
              <w:rPr>
                <w:rFonts w:ascii="Arial" w:eastAsia="Malgun Gothic" w:hAnsi="Arial" w:cs="Arial"/>
                <w:b/>
                <w:bCs/>
                <w:sz w:val="22"/>
                <w:szCs w:val="22"/>
              </w:rPr>
              <w:t>107.3</w:t>
            </w:r>
          </w:p>
        </w:tc>
      </w:tr>
    </w:tbl>
    <w:p w:rsidR="00EC6A63" w:rsidRPr="00C735D8" w:rsidRDefault="00EC6A63" w:rsidP="00EC6A63">
      <w:pPr>
        <w:wordWrap/>
        <w:snapToGrid w:val="0"/>
        <w:ind w:leftChars="71" w:left="142" w:rightChars="56" w:right="112"/>
        <w:rPr>
          <w:rFonts w:ascii="Arial" w:hAnsi="Arial" w:cs="Arial"/>
          <w:kern w:val="0"/>
          <w:sz w:val="22"/>
          <w:szCs w:val="22"/>
        </w:rPr>
      </w:pPr>
    </w:p>
    <w:p w:rsidR="00EC6A63" w:rsidRPr="00C735D8" w:rsidRDefault="00EC6A63" w:rsidP="00EC6A63">
      <w:pPr>
        <w:wordWrap/>
        <w:snapToGrid w:val="0"/>
        <w:ind w:leftChars="71" w:left="142" w:rightChars="56" w:right="112"/>
        <w:rPr>
          <w:rFonts w:ascii="Arial" w:hAnsi="Arial" w:cs="Arial"/>
          <w:b/>
          <w:i/>
          <w:kern w:val="0"/>
          <w:sz w:val="22"/>
          <w:szCs w:val="22"/>
        </w:rPr>
      </w:pPr>
      <w:r w:rsidRPr="00C735D8">
        <w:rPr>
          <w:rFonts w:ascii="Arial" w:hAnsi="Arial" w:cs="Arial"/>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C6A63" w:rsidRPr="00C735D8" w:rsidTr="00DB1BDF">
        <w:trPr>
          <w:trHeight w:val="363"/>
        </w:trPr>
        <w:tc>
          <w:tcPr>
            <w:tcW w:w="2587" w:type="dxa"/>
            <w:tcBorders>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2017</w:t>
            </w:r>
          </w:p>
        </w:tc>
      </w:tr>
      <w:tr w:rsidR="00EC6A63" w:rsidRPr="00C735D8" w:rsidTr="00DB1BDF">
        <w:trPr>
          <w:trHeight w:val="363"/>
        </w:trPr>
        <w:tc>
          <w:tcPr>
            <w:tcW w:w="2587" w:type="dxa"/>
            <w:tcBorders>
              <w:top w:val="double" w:sz="4" w:space="0" w:color="auto"/>
              <w:right w:val="double" w:sz="4" w:space="0" w:color="auto"/>
            </w:tcBorders>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USD / KRW</w:t>
            </w:r>
          </w:p>
        </w:tc>
        <w:tc>
          <w:tcPr>
            <w:tcW w:w="2587" w:type="dxa"/>
            <w:tcBorders>
              <w:top w:val="double" w:sz="4" w:space="0" w:color="auto"/>
              <w:right w:val="double" w:sz="4" w:space="0" w:color="auto"/>
            </w:tcBorders>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1,157.37</w:t>
            </w:r>
          </w:p>
        </w:tc>
        <w:tc>
          <w:tcPr>
            <w:tcW w:w="2587" w:type="dxa"/>
            <w:tcBorders>
              <w:top w:val="double" w:sz="4" w:space="0" w:color="auto"/>
              <w:left w:val="double" w:sz="4" w:space="0" w:color="auto"/>
              <w:right w:val="double" w:sz="4" w:space="0" w:color="auto"/>
            </w:tcBorders>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1,132.24</w:t>
            </w:r>
          </w:p>
        </w:tc>
        <w:tc>
          <w:tcPr>
            <w:tcW w:w="2587" w:type="dxa"/>
            <w:tcBorders>
              <w:top w:val="double" w:sz="4" w:space="0" w:color="auto"/>
              <w:left w:val="double" w:sz="4" w:space="0" w:color="auto"/>
              <w:right w:val="nil"/>
            </w:tcBorders>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1,105.72</w:t>
            </w:r>
          </w:p>
        </w:tc>
      </w:tr>
      <w:tr w:rsidR="00EC6A63" w:rsidRPr="00C735D8" w:rsidTr="00DB1BDF">
        <w:trPr>
          <w:trHeight w:val="363"/>
        </w:trPr>
        <w:tc>
          <w:tcPr>
            <w:tcW w:w="2587" w:type="dxa"/>
            <w:tcBorders>
              <w:right w:val="double" w:sz="4" w:space="0" w:color="auto"/>
            </w:tcBorders>
            <w:vAlign w:val="center"/>
          </w:tcPr>
          <w:p w:rsidR="00EC6A63" w:rsidRPr="00C735D8" w:rsidRDefault="00EC6A63" w:rsidP="00DB1BDF">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EUR / KRW</w:t>
            </w:r>
          </w:p>
        </w:tc>
        <w:tc>
          <w:tcPr>
            <w:tcW w:w="2587" w:type="dxa"/>
            <w:tcBorders>
              <w:right w:val="double" w:sz="4" w:space="0" w:color="auto"/>
            </w:tcBorders>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1,247.02</w:t>
            </w:r>
          </w:p>
        </w:tc>
        <w:tc>
          <w:tcPr>
            <w:tcW w:w="2587" w:type="dxa"/>
            <w:tcBorders>
              <w:left w:val="double" w:sz="4" w:space="0" w:color="auto"/>
              <w:right w:val="double" w:sz="4" w:space="0" w:color="auto"/>
            </w:tcBorders>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1,330.2</w:t>
            </w:r>
          </w:p>
        </w:tc>
        <w:tc>
          <w:tcPr>
            <w:tcW w:w="2587" w:type="dxa"/>
            <w:tcBorders>
              <w:left w:val="double" w:sz="4" w:space="0" w:color="auto"/>
              <w:right w:val="nil"/>
            </w:tcBorders>
          </w:tcPr>
          <w:p w:rsidR="00EC6A63" w:rsidRPr="00C735D8" w:rsidRDefault="00EC6A63" w:rsidP="00DB1BDF">
            <w:pPr>
              <w:jc w:val="center"/>
              <w:rPr>
                <w:rFonts w:ascii="Arial" w:hAnsi="Arial" w:cs="Arial"/>
                <w:b/>
                <w:sz w:val="22"/>
                <w:szCs w:val="22"/>
              </w:rPr>
            </w:pPr>
            <w:r w:rsidRPr="00C735D8">
              <w:rPr>
                <w:rFonts w:ascii="Arial" w:hAnsi="Arial" w:cs="Arial"/>
                <w:b/>
                <w:sz w:val="22"/>
                <w:szCs w:val="22"/>
              </w:rPr>
              <w:t>1,301.81</w:t>
            </w:r>
          </w:p>
        </w:tc>
      </w:tr>
    </w:tbl>
    <w:p w:rsidR="00EC6A63" w:rsidRPr="00C735D8" w:rsidRDefault="00EC6A63" w:rsidP="00EC6A63">
      <w:pPr>
        <w:widowControl/>
        <w:wordWrap/>
        <w:autoSpaceDE/>
        <w:autoSpaceDN/>
        <w:spacing w:line="207" w:lineRule="atLeast"/>
        <w:ind w:right="112"/>
        <w:jc w:val="left"/>
        <w:rPr>
          <w:rFonts w:ascii="Arial" w:eastAsia="Malgun Gothic" w:hAnsi="Arial" w:cs="Arial"/>
          <w:b/>
          <w:bCs/>
          <w:color w:val="000000" w:themeColor="text1"/>
          <w:kern w:val="0"/>
          <w:sz w:val="22"/>
          <w:szCs w:val="22"/>
          <w:shd w:val="clear" w:color="auto" w:fill="FFFFFF"/>
        </w:rPr>
      </w:pPr>
    </w:p>
    <w:p w:rsidR="00EC6A63" w:rsidRPr="00C735D8" w:rsidRDefault="00EC6A63" w:rsidP="00EC6A63">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themeFill="background1"/>
        </w:rPr>
      </w:pPr>
      <w:r w:rsidRPr="00C735D8">
        <w:rPr>
          <w:rFonts w:ascii="Arial" w:eastAsia="Malgun Gothic" w:hAnsi="Arial" w:cs="Arial"/>
          <w:b/>
          <w:bCs/>
          <w:color w:val="000000" w:themeColor="text1"/>
          <w:kern w:val="0"/>
          <w:sz w:val="22"/>
          <w:szCs w:val="22"/>
          <w:shd w:val="clear" w:color="auto" w:fill="FFFFFF" w:themeFill="background1"/>
        </w:rPr>
        <w:t>2017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EC6A63" w:rsidRPr="00C735D8" w:rsidTr="00DB1BDF">
        <w:trPr>
          <w:trHeight w:val="362"/>
        </w:trPr>
        <w:tc>
          <w:tcPr>
            <w:tcW w:w="2550" w:type="dxa"/>
            <w:shd w:val="clear" w:color="auto" w:fill="7F7F7F"/>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(Unit: Billion KRW)</w:t>
            </w:r>
          </w:p>
        </w:tc>
        <w:tc>
          <w:tcPr>
            <w:tcW w:w="3090" w:type="dxa"/>
            <w:shd w:val="clear" w:color="auto" w:fill="7F7F7F"/>
            <w:vAlign w:val="center"/>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090" w:type="dxa"/>
            <w:shd w:val="clear" w:color="auto" w:fill="7F7F7F"/>
            <w:vAlign w:val="center"/>
          </w:tcPr>
          <w:p w:rsidR="00EC6A63" w:rsidRPr="00C735D8" w:rsidRDefault="00EC6A63" w:rsidP="00DB1BDF">
            <w:pPr>
              <w:widowControl/>
              <w:wordWrap/>
              <w:autoSpaceDE/>
              <w:autoSpaceDN/>
              <w:ind w:right="112"/>
              <w:jc w:val="center"/>
              <w:rPr>
                <w:rFonts w:ascii="Arial" w:eastAsia="Gulim" w:hAnsi="Arial" w:cs="Arial"/>
                <w:b/>
                <w:bCs/>
                <w:color w:val="FFFFFF"/>
                <w:kern w:val="0"/>
                <w:sz w:val="22"/>
                <w:szCs w:val="22"/>
              </w:rPr>
            </w:pPr>
            <w:r w:rsidRPr="00C735D8">
              <w:rPr>
                <w:rFonts w:ascii="Arial" w:eastAsia="Gulim" w:hAnsi="Arial" w:cs="Arial"/>
                <w:b/>
                <w:bCs/>
                <w:color w:val="FFFFFF"/>
                <w:kern w:val="0"/>
                <w:sz w:val="22"/>
                <w:szCs w:val="22"/>
              </w:rPr>
              <w:t>FY 2017</w:t>
            </w:r>
          </w:p>
        </w:tc>
      </w:tr>
      <w:tr w:rsidR="00EC6A63" w:rsidRPr="00C735D8" w:rsidTr="00DB1BDF">
        <w:trPr>
          <w:trHeight w:val="362"/>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Sales</w:t>
            </w:r>
          </w:p>
        </w:tc>
        <w:tc>
          <w:tcPr>
            <w:tcW w:w="3090" w:type="dxa"/>
          </w:tcPr>
          <w:p w:rsidR="00EC6A63" w:rsidRPr="00C735D8" w:rsidRDefault="00EC6A63" w:rsidP="00DB1BDF">
            <w:pPr>
              <w:widowControl/>
              <w:wordWrap/>
              <w:autoSpaceDE/>
              <w:autoSpaceDN/>
              <w:ind w:right="160"/>
              <w:jc w:val="center"/>
              <w:rPr>
                <w:rFonts w:ascii="Arial" w:eastAsia="Gulim" w:hAnsi="Arial" w:cs="Arial"/>
                <w:b/>
                <w:color w:val="000000" w:themeColor="text1"/>
                <w:kern w:val="0"/>
                <w:sz w:val="22"/>
                <w:szCs w:val="22"/>
              </w:rPr>
            </w:pPr>
            <w:r w:rsidRPr="00C735D8">
              <w:rPr>
                <w:rFonts w:ascii="Arial" w:hAnsi="Arial" w:cs="Arial"/>
                <w:b/>
                <w:sz w:val="22"/>
                <w:szCs w:val="22"/>
              </w:rPr>
              <w:t>6,621.8</w:t>
            </w:r>
          </w:p>
        </w:tc>
        <w:tc>
          <w:tcPr>
            <w:tcW w:w="3090" w:type="dxa"/>
            <w:shd w:val="clear" w:color="auto" w:fill="auto"/>
            <w:vAlign w:val="center"/>
          </w:tcPr>
          <w:p w:rsidR="00EC6A63" w:rsidRPr="00C735D8" w:rsidRDefault="00EC6A63" w:rsidP="00DB1BDF">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6,813.3</w:t>
            </w:r>
          </w:p>
        </w:tc>
      </w:tr>
      <w:tr w:rsidR="00EC6A63" w:rsidRPr="00C735D8" w:rsidTr="00DB1BDF">
        <w:trPr>
          <w:trHeight w:val="362"/>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Operating Profit</w:t>
            </w:r>
          </w:p>
        </w:tc>
        <w:tc>
          <w:tcPr>
            <w:tcW w:w="3090" w:type="dxa"/>
          </w:tcPr>
          <w:p w:rsidR="00EC6A63" w:rsidRPr="00C735D8" w:rsidRDefault="00EC6A63" w:rsidP="00DB1BDF">
            <w:pPr>
              <w:widowControl/>
              <w:wordWrap/>
              <w:autoSpaceDE/>
              <w:autoSpaceDN/>
              <w:ind w:right="160"/>
              <w:jc w:val="center"/>
              <w:rPr>
                <w:rFonts w:ascii="Arial" w:eastAsia="Gulim" w:hAnsi="Arial" w:cs="Arial"/>
                <w:b/>
                <w:color w:val="000000" w:themeColor="text1"/>
                <w:kern w:val="0"/>
                <w:sz w:val="22"/>
                <w:szCs w:val="22"/>
              </w:rPr>
            </w:pPr>
            <w:r w:rsidRPr="00C735D8">
              <w:rPr>
                <w:rFonts w:ascii="Arial" w:hAnsi="Arial" w:cs="Arial"/>
                <w:b/>
                <w:sz w:val="22"/>
                <w:szCs w:val="22"/>
              </w:rPr>
              <w:t>1,103.2</w:t>
            </w:r>
          </w:p>
        </w:tc>
        <w:tc>
          <w:tcPr>
            <w:tcW w:w="3090" w:type="dxa"/>
            <w:shd w:val="clear" w:color="auto" w:fill="auto"/>
            <w:vAlign w:val="center"/>
          </w:tcPr>
          <w:p w:rsidR="00EC6A63" w:rsidRPr="00C735D8" w:rsidRDefault="00EC6A63" w:rsidP="00DB1BDF">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793.7</w:t>
            </w:r>
          </w:p>
        </w:tc>
      </w:tr>
    </w:tbl>
    <w:p w:rsidR="00EC6A63" w:rsidRPr="00C735D8" w:rsidRDefault="00EC6A63" w:rsidP="00EC6A63">
      <w:pPr>
        <w:widowControl/>
        <w:wordWrap/>
        <w:autoSpaceDE/>
        <w:autoSpaceDN/>
        <w:jc w:val="left"/>
        <w:rPr>
          <w:rFonts w:ascii="Arial" w:eastAsia="Gulim" w:hAnsi="Arial" w:cs="Arial"/>
          <w:kern w:val="0"/>
          <w:sz w:val="22"/>
          <w:szCs w:val="22"/>
        </w:rPr>
      </w:pPr>
      <w:r w:rsidRPr="00C735D8">
        <w:rPr>
          <w:rFonts w:ascii="Arial" w:eastAsia="Malgun Gothic" w:hAnsi="Arial" w:cs="Arial"/>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EC6A63" w:rsidRPr="00C735D8" w:rsidTr="00DB1BDF">
        <w:trPr>
          <w:trHeight w:val="363"/>
        </w:trPr>
        <w:tc>
          <w:tcPr>
            <w:tcW w:w="2550" w:type="dxa"/>
            <w:shd w:val="clear" w:color="auto" w:fill="7F7F7F"/>
            <w:vAlign w:val="center"/>
            <w:hideMark/>
          </w:tcPr>
          <w:p w:rsidR="00EC6A63" w:rsidRPr="00C735D8" w:rsidRDefault="00EC6A63" w:rsidP="00DB1BDF">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FFFFFF"/>
                <w:kern w:val="0"/>
                <w:sz w:val="22"/>
                <w:szCs w:val="22"/>
              </w:rPr>
              <w:t>(Unit: Million USD)</w:t>
            </w:r>
          </w:p>
        </w:tc>
        <w:tc>
          <w:tcPr>
            <w:tcW w:w="3120" w:type="dxa"/>
            <w:shd w:val="clear" w:color="auto" w:fill="7F7F7F"/>
            <w:vAlign w:val="center"/>
          </w:tcPr>
          <w:p w:rsidR="00EC6A63" w:rsidRPr="00C735D8" w:rsidRDefault="00EC6A63" w:rsidP="00DB1BDF">
            <w:pPr>
              <w:widowControl/>
              <w:wordWrap/>
              <w:autoSpaceDE/>
              <w:autoSpaceDN/>
              <w:ind w:right="112"/>
              <w:jc w:val="center"/>
              <w:rPr>
                <w:rFonts w:ascii="Arial" w:eastAsia="Malgun Gothic" w:hAnsi="Arial" w:cs="Arial"/>
                <w:b/>
                <w:bCs/>
                <w:color w:val="FFFFFF"/>
                <w:kern w:val="0"/>
                <w:sz w:val="22"/>
                <w:szCs w:val="22"/>
              </w:rPr>
            </w:pPr>
            <w:r w:rsidRPr="00C735D8">
              <w:rPr>
                <w:rFonts w:ascii="Arial" w:eastAsia="Malgun Gothic" w:hAnsi="Arial" w:cs="Arial"/>
                <w:b/>
                <w:bCs/>
                <w:color w:val="FFFFFF"/>
                <w:kern w:val="0"/>
                <w:sz w:val="22"/>
                <w:szCs w:val="22"/>
              </w:rPr>
              <w:t>FY 2016</w:t>
            </w:r>
          </w:p>
        </w:tc>
        <w:tc>
          <w:tcPr>
            <w:tcW w:w="3120" w:type="dxa"/>
            <w:shd w:val="clear" w:color="auto" w:fill="7F7F7F"/>
            <w:vAlign w:val="center"/>
          </w:tcPr>
          <w:p w:rsidR="00EC6A63" w:rsidRPr="00C735D8" w:rsidRDefault="00EC6A63" w:rsidP="00DB1BDF">
            <w:pPr>
              <w:widowControl/>
              <w:wordWrap/>
              <w:autoSpaceDE/>
              <w:autoSpaceDN/>
              <w:ind w:right="112"/>
              <w:jc w:val="center"/>
              <w:rPr>
                <w:rFonts w:ascii="Arial" w:eastAsia="Malgun Gothic" w:hAnsi="Arial" w:cs="Arial"/>
                <w:b/>
                <w:color w:val="222222"/>
                <w:kern w:val="0"/>
                <w:sz w:val="22"/>
                <w:szCs w:val="22"/>
              </w:rPr>
            </w:pPr>
            <w:r w:rsidRPr="00C735D8">
              <w:rPr>
                <w:rFonts w:ascii="Arial" w:eastAsia="Malgun Gothic" w:hAnsi="Arial" w:cs="Arial"/>
                <w:b/>
                <w:color w:val="FFFFFF" w:themeColor="background1"/>
                <w:kern w:val="0"/>
                <w:sz w:val="22"/>
                <w:szCs w:val="22"/>
              </w:rPr>
              <w:t>FY 2017</w:t>
            </w:r>
          </w:p>
        </w:tc>
      </w:tr>
      <w:tr w:rsidR="00EC6A63" w:rsidRPr="00C735D8" w:rsidTr="00DB1BDF">
        <w:trPr>
          <w:trHeight w:val="363"/>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222222"/>
                <w:kern w:val="0"/>
                <w:sz w:val="22"/>
                <w:szCs w:val="22"/>
              </w:rPr>
              <w:t>Sales</w:t>
            </w:r>
          </w:p>
        </w:tc>
        <w:tc>
          <w:tcPr>
            <w:tcW w:w="3120" w:type="dxa"/>
          </w:tcPr>
          <w:p w:rsidR="00EC6A63" w:rsidRPr="00C735D8" w:rsidRDefault="00EC6A63" w:rsidP="00DB1BDF">
            <w:pPr>
              <w:widowControl/>
              <w:wordWrap/>
              <w:autoSpaceDE/>
              <w:autoSpaceDN/>
              <w:jc w:val="center"/>
              <w:rPr>
                <w:rFonts w:ascii="Arial" w:eastAsia="Malgun Gothic" w:hAnsi="Arial" w:cs="Arial"/>
                <w:b/>
                <w:bCs/>
                <w:color w:val="000000" w:themeColor="text1"/>
                <w:kern w:val="0"/>
                <w:sz w:val="22"/>
                <w:szCs w:val="22"/>
              </w:rPr>
            </w:pPr>
            <w:r w:rsidRPr="00C735D8">
              <w:rPr>
                <w:rFonts w:ascii="Arial" w:eastAsia="Malgun Gothic" w:hAnsi="Arial" w:cs="Arial"/>
                <w:b/>
                <w:bCs/>
                <w:color w:val="000000" w:themeColor="text1"/>
                <w:kern w:val="0"/>
                <w:sz w:val="22"/>
                <w:szCs w:val="22"/>
              </w:rPr>
              <w:t>5,706</w:t>
            </w:r>
          </w:p>
        </w:tc>
        <w:tc>
          <w:tcPr>
            <w:tcW w:w="3120" w:type="dxa"/>
            <w:shd w:val="clear" w:color="auto" w:fill="auto"/>
          </w:tcPr>
          <w:p w:rsidR="00EC6A63" w:rsidRPr="00C735D8" w:rsidRDefault="00EC6A63" w:rsidP="00DB1BDF">
            <w:pPr>
              <w:widowControl/>
              <w:wordWrap/>
              <w:autoSpaceDE/>
              <w:autoSpaceDN/>
              <w:jc w:val="center"/>
              <w:rPr>
                <w:rFonts w:ascii="Arial" w:eastAsia="Malgun Gothic" w:hAnsi="Arial" w:cs="Arial"/>
                <w:b/>
                <w:color w:val="000000" w:themeColor="text1"/>
                <w:kern w:val="0"/>
                <w:sz w:val="22"/>
                <w:szCs w:val="22"/>
              </w:rPr>
            </w:pPr>
            <w:r w:rsidRPr="00C735D8">
              <w:rPr>
                <w:rFonts w:ascii="Arial" w:eastAsia="Malgun Gothic" w:hAnsi="Arial" w:cs="Arial"/>
                <w:b/>
                <w:color w:val="000000" w:themeColor="text1"/>
                <w:kern w:val="0"/>
                <w:sz w:val="22"/>
                <w:szCs w:val="22"/>
              </w:rPr>
              <w:t>6,024.9</w:t>
            </w:r>
          </w:p>
        </w:tc>
      </w:tr>
      <w:tr w:rsidR="00EC6A63" w:rsidRPr="00C735D8" w:rsidTr="00DB1BDF">
        <w:trPr>
          <w:trHeight w:val="363"/>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222222"/>
                <w:kern w:val="0"/>
                <w:sz w:val="22"/>
                <w:szCs w:val="22"/>
              </w:rPr>
              <w:t>Operating Profit</w:t>
            </w:r>
          </w:p>
        </w:tc>
        <w:tc>
          <w:tcPr>
            <w:tcW w:w="3120" w:type="dxa"/>
          </w:tcPr>
          <w:p w:rsidR="00EC6A63" w:rsidRPr="00C735D8" w:rsidRDefault="00EC6A63" w:rsidP="00DB1BDF">
            <w:pPr>
              <w:widowControl/>
              <w:wordWrap/>
              <w:autoSpaceDE/>
              <w:autoSpaceDN/>
              <w:jc w:val="center"/>
              <w:rPr>
                <w:rFonts w:ascii="Arial" w:eastAsia="Malgun Gothic" w:hAnsi="Arial" w:cs="Arial"/>
                <w:b/>
                <w:bCs/>
                <w:color w:val="000000" w:themeColor="text1"/>
                <w:kern w:val="0"/>
                <w:sz w:val="22"/>
                <w:szCs w:val="22"/>
              </w:rPr>
            </w:pPr>
            <w:r w:rsidRPr="00C735D8">
              <w:rPr>
                <w:rFonts w:ascii="Arial" w:eastAsia="Malgun Gothic" w:hAnsi="Arial" w:cs="Arial"/>
                <w:b/>
                <w:bCs/>
                <w:color w:val="000000" w:themeColor="text1"/>
                <w:kern w:val="0"/>
                <w:sz w:val="22"/>
                <w:szCs w:val="22"/>
              </w:rPr>
              <w:t>950.6</w:t>
            </w:r>
          </w:p>
        </w:tc>
        <w:tc>
          <w:tcPr>
            <w:tcW w:w="3120" w:type="dxa"/>
            <w:shd w:val="clear" w:color="auto" w:fill="auto"/>
          </w:tcPr>
          <w:p w:rsidR="00EC6A63" w:rsidRPr="00C735D8" w:rsidRDefault="00EC6A63" w:rsidP="00DB1BDF">
            <w:pPr>
              <w:widowControl/>
              <w:wordWrap/>
              <w:autoSpaceDE/>
              <w:autoSpaceDN/>
              <w:jc w:val="center"/>
              <w:rPr>
                <w:rFonts w:ascii="Arial" w:eastAsia="Malgun Gothic" w:hAnsi="Arial" w:cs="Arial"/>
                <w:b/>
                <w:color w:val="000000" w:themeColor="text1"/>
                <w:kern w:val="0"/>
                <w:sz w:val="22"/>
                <w:szCs w:val="22"/>
              </w:rPr>
            </w:pPr>
            <w:r w:rsidRPr="00C735D8">
              <w:rPr>
                <w:rFonts w:ascii="Arial" w:eastAsia="Malgun Gothic" w:hAnsi="Arial" w:cs="Arial"/>
                <w:b/>
                <w:color w:val="000000" w:themeColor="text1"/>
                <w:kern w:val="0"/>
                <w:sz w:val="22"/>
                <w:szCs w:val="22"/>
              </w:rPr>
              <w:t>701.8</w:t>
            </w:r>
          </w:p>
        </w:tc>
      </w:tr>
    </w:tbl>
    <w:p w:rsidR="00EC6A63" w:rsidRPr="00C735D8" w:rsidRDefault="00EC6A63" w:rsidP="00EC6A63">
      <w:pPr>
        <w:widowControl/>
        <w:wordWrap/>
        <w:autoSpaceDE/>
        <w:autoSpaceDN/>
        <w:spacing w:line="207" w:lineRule="atLeast"/>
        <w:ind w:left="142" w:right="112"/>
        <w:jc w:val="left"/>
        <w:rPr>
          <w:rFonts w:ascii="Arial" w:eastAsia="Malgun Gothic" w:hAnsi="Arial" w:cs="Arial"/>
          <w:color w:val="500050"/>
          <w:kern w:val="0"/>
          <w:sz w:val="22"/>
          <w:szCs w:val="22"/>
          <w:shd w:val="clear" w:color="auto" w:fill="FFFFFF"/>
        </w:rPr>
      </w:pPr>
      <w:r w:rsidRPr="00C735D8">
        <w:rPr>
          <w:rFonts w:ascii="Arial" w:eastAsia="Malgun Gothic" w:hAnsi="Arial" w:cs="Arial"/>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EC6A63" w:rsidRPr="00C735D8" w:rsidTr="00DB1BDF">
        <w:trPr>
          <w:trHeight w:val="363"/>
        </w:trPr>
        <w:tc>
          <w:tcPr>
            <w:tcW w:w="2550" w:type="dxa"/>
            <w:shd w:val="clear" w:color="auto" w:fill="7F7F7F"/>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(Unit: Million EUR)</w:t>
            </w:r>
          </w:p>
        </w:tc>
        <w:tc>
          <w:tcPr>
            <w:tcW w:w="3120" w:type="dxa"/>
            <w:shd w:val="clear" w:color="auto" w:fill="7F7F7F"/>
            <w:vAlign w:val="center"/>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120" w:type="dxa"/>
            <w:shd w:val="clear" w:color="auto" w:fill="7F7F7F"/>
            <w:vAlign w:val="center"/>
          </w:tcPr>
          <w:p w:rsidR="00EC6A63" w:rsidRPr="00C735D8" w:rsidRDefault="00EC6A63" w:rsidP="00DB1BDF">
            <w:pPr>
              <w:widowControl/>
              <w:wordWrap/>
              <w:autoSpaceDE/>
              <w:autoSpaceDN/>
              <w:ind w:right="112"/>
              <w:jc w:val="center"/>
              <w:rPr>
                <w:rFonts w:ascii="Arial" w:eastAsia="Gulim" w:hAnsi="Arial" w:cs="Arial"/>
                <w:b/>
                <w:kern w:val="0"/>
                <w:sz w:val="22"/>
                <w:szCs w:val="22"/>
              </w:rPr>
            </w:pPr>
            <w:r w:rsidRPr="00C735D8">
              <w:rPr>
                <w:rFonts w:ascii="Arial" w:eastAsia="Gulim" w:hAnsi="Arial" w:cs="Arial"/>
                <w:b/>
                <w:color w:val="FFFFFF" w:themeColor="background1"/>
                <w:kern w:val="0"/>
                <w:sz w:val="22"/>
                <w:szCs w:val="22"/>
              </w:rPr>
              <w:t>FY 2017</w:t>
            </w:r>
          </w:p>
        </w:tc>
      </w:tr>
      <w:tr w:rsidR="00EC6A63" w:rsidRPr="00C735D8" w:rsidTr="00DB1BDF">
        <w:trPr>
          <w:trHeight w:val="363"/>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Sales</w:t>
            </w:r>
          </w:p>
        </w:tc>
        <w:tc>
          <w:tcPr>
            <w:tcW w:w="3120" w:type="dxa"/>
            <w:vAlign w:val="center"/>
          </w:tcPr>
          <w:p w:rsidR="00EC6A63" w:rsidRPr="00C735D8" w:rsidRDefault="00EC6A63" w:rsidP="00DB1BDF">
            <w:pPr>
              <w:widowControl/>
              <w:wordWrap/>
              <w:autoSpaceDE/>
              <w:autoSpaceDN/>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5,160</w:t>
            </w:r>
          </w:p>
        </w:tc>
        <w:tc>
          <w:tcPr>
            <w:tcW w:w="3120" w:type="dxa"/>
            <w:shd w:val="clear" w:color="auto" w:fill="auto"/>
            <w:vAlign w:val="center"/>
          </w:tcPr>
          <w:p w:rsidR="00EC6A63" w:rsidRPr="00C735D8" w:rsidRDefault="00EC6A63" w:rsidP="00DB1BDF">
            <w:pPr>
              <w:widowControl/>
              <w:wordWrap/>
              <w:autoSpaceDE/>
              <w:autoSpaceDN/>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5,337.9</w:t>
            </w:r>
          </w:p>
        </w:tc>
      </w:tr>
      <w:tr w:rsidR="00EC6A63" w:rsidRPr="00C735D8" w:rsidTr="00DB1BDF">
        <w:trPr>
          <w:trHeight w:val="363"/>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Operating Profit</w:t>
            </w:r>
          </w:p>
        </w:tc>
        <w:tc>
          <w:tcPr>
            <w:tcW w:w="3120" w:type="dxa"/>
            <w:vAlign w:val="center"/>
          </w:tcPr>
          <w:p w:rsidR="00EC6A63" w:rsidRPr="00C735D8" w:rsidRDefault="00EC6A63" w:rsidP="00DB1BDF">
            <w:pPr>
              <w:widowControl/>
              <w:wordWrap/>
              <w:autoSpaceDE/>
              <w:autoSpaceDN/>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859.7</w:t>
            </w:r>
          </w:p>
        </w:tc>
        <w:tc>
          <w:tcPr>
            <w:tcW w:w="3120" w:type="dxa"/>
            <w:shd w:val="clear" w:color="auto" w:fill="auto"/>
            <w:vAlign w:val="center"/>
          </w:tcPr>
          <w:p w:rsidR="00EC6A63" w:rsidRPr="00C735D8" w:rsidRDefault="00EC6A63" w:rsidP="00DB1BDF">
            <w:pPr>
              <w:widowControl/>
              <w:wordWrap/>
              <w:autoSpaceDE/>
              <w:autoSpaceDN/>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621.8</w:t>
            </w:r>
          </w:p>
        </w:tc>
      </w:tr>
    </w:tbl>
    <w:p w:rsidR="00EC6A63" w:rsidRPr="00C735D8" w:rsidRDefault="00EC6A63" w:rsidP="00EC6A63">
      <w:pPr>
        <w:widowControl/>
        <w:wordWrap/>
        <w:autoSpaceDE/>
        <w:autoSpaceDN/>
        <w:spacing w:line="207" w:lineRule="atLeast"/>
        <w:ind w:left="142" w:right="112"/>
        <w:jc w:val="left"/>
        <w:rPr>
          <w:rFonts w:ascii="Arial" w:eastAsia="Gulim" w:hAnsi="Arial" w:cs="Arial"/>
          <w:kern w:val="0"/>
          <w:sz w:val="22"/>
          <w:szCs w:val="22"/>
        </w:rPr>
      </w:pPr>
      <w:r w:rsidRPr="00C735D8">
        <w:rPr>
          <w:rFonts w:ascii="Arial" w:eastAsia="Malgun Gothic" w:hAnsi="Arial" w:cs="Arial"/>
          <w:color w:val="500050"/>
          <w:kern w:val="0"/>
          <w:sz w:val="22"/>
          <w:szCs w:val="22"/>
          <w:shd w:val="clear" w:color="auto" w:fill="FFFFFF"/>
        </w:rPr>
        <w:t> </w:t>
      </w:r>
    </w:p>
    <w:p w:rsidR="00EC6A63" w:rsidRPr="00C735D8" w:rsidRDefault="00EC6A63" w:rsidP="00EC6A63">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rPr>
      </w:pPr>
      <w:r w:rsidRPr="00C735D8">
        <w:rPr>
          <w:rFonts w:ascii="Arial" w:eastAsia="Malgun Gothic" w:hAnsi="Arial" w:cs="Arial"/>
          <w:b/>
          <w:bCs/>
          <w:i/>
          <w:iCs/>
          <w:color w:val="000000" w:themeColor="text1"/>
          <w:kern w:val="0"/>
          <w:sz w:val="22"/>
          <w:szCs w:val="22"/>
          <w:shd w:val="clear" w:color="auto" w:fill="FFFFFF"/>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EC6A63" w:rsidRPr="00C735D8" w:rsidTr="00DB1BDF">
        <w:trPr>
          <w:trHeight w:val="363"/>
        </w:trPr>
        <w:tc>
          <w:tcPr>
            <w:tcW w:w="2550" w:type="dxa"/>
            <w:shd w:val="clear" w:color="auto" w:fill="7F7F7F"/>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 </w:t>
            </w:r>
          </w:p>
        </w:tc>
        <w:tc>
          <w:tcPr>
            <w:tcW w:w="3120" w:type="dxa"/>
            <w:shd w:val="clear" w:color="auto" w:fill="7F7F7F"/>
            <w:vAlign w:val="center"/>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120" w:type="dxa"/>
            <w:shd w:val="clear" w:color="auto" w:fill="7F7F7F"/>
            <w:vAlign w:val="center"/>
          </w:tcPr>
          <w:p w:rsidR="00EC6A63" w:rsidRPr="00C735D8" w:rsidRDefault="00EC6A63" w:rsidP="00DB1BDF">
            <w:pPr>
              <w:widowControl/>
              <w:wordWrap/>
              <w:autoSpaceDE/>
              <w:autoSpaceDN/>
              <w:ind w:right="112"/>
              <w:jc w:val="center"/>
              <w:rPr>
                <w:rFonts w:ascii="Arial" w:eastAsia="Gulim" w:hAnsi="Arial" w:cs="Arial"/>
                <w:b/>
                <w:kern w:val="0"/>
                <w:sz w:val="22"/>
                <w:szCs w:val="22"/>
              </w:rPr>
            </w:pPr>
            <w:r w:rsidRPr="00C735D8">
              <w:rPr>
                <w:rFonts w:ascii="Arial" w:eastAsia="Gulim" w:hAnsi="Arial" w:cs="Arial"/>
                <w:b/>
                <w:color w:val="FFFFFF" w:themeColor="background1"/>
                <w:kern w:val="0"/>
                <w:sz w:val="22"/>
                <w:szCs w:val="22"/>
              </w:rPr>
              <w:t>FY 2017</w:t>
            </w:r>
          </w:p>
        </w:tc>
      </w:tr>
      <w:tr w:rsidR="00EC6A63" w:rsidRPr="00C735D8" w:rsidTr="00DB1BDF">
        <w:trPr>
          <w:trHeight w:val="363"/>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USD / KRW</w:t>
            </w:r>
          </w:p>
        </w:tc>
        <w:tc>
          <w:tcPr>
            <w:tcW w:w="3120" w:type="dxa"/>
            <w:vAlign w:val="center"/>
          </w:tcPr>
          <w:p w:rsidR="00EC6A63" w:rsidRPr="00C735D8" w:rsidRDefault="00EC6A63" w:rsidP="00DB1BDF">
            <w:pPr>
              <w:widowControl/>
              <w:wordWrap/>
              <w:autoSpaceDE/>
              <w:autoSpaceDN/>
              <w:ind w:right="160"/>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1,160.50</w:t>
            </w:r>
          </w:p>
        </w:tc>
        <w:tc>
          <w:tcPr>
            <w:tcW w:w="3120" w:type="dxa"/>
            <w:shd w:val="clear" w:color="auto" w:fill="auto"/>
            <w:vAlign w:val="center"/>
          </w:tcPr>
          <w:p w:rsidR="00EC6A63" w:rsidRPr="00C735D8" w:rsidRDefault="00EC6A63" w:rsidP="00DB1BDF">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1,130.84</w:t>
            </w:r>
          </w:p>
        </w:tc>
      </w:tr>
      <w:tr w:rsidR="00EC6A63" w:rsidRPr="00C735D8" w:rsidTr="00DB1BDF">
        <w:trPr>
          <w:trHeight w:val="363"/>
        </w:trPr>
        <w:tc>
          <w:tcPr>
            <w:tcW w:w="2550" w:type="dxa"/>
            <w:shd w:val="clear" w:color="auto" w:fill="auto"/>
            <w:vAlign w:val="center"/>
            <w:hideMark/>
          </w:tcPr>
          <w:p w:rsidR="00EC6A63" w:rsidRPr="00C735D8" w:rsidRDefault="00EC6A63" w:rsidP="00DB1BDF">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EUR / KRW</w:t>
            </w:r>
          </w:p>
        </w:tc>
        <w:tc>
          <w:tcPr>
            <w:tcW w:w="3120" w:type="dxa"/>
            <w:vAlign w:val="center"/>
          </w:tcPr>
          <w:p w:rsidR="00EC6A63" w:rsidRPr="00C735D8" w:rsidRDefault="00EC6A63" w:rsidP="00DB1BDF">
            <w:pPr>
              <w:widowControl/>
              <w:wordWrap/>
              <w:autoSpaceDE/>
              <w:autoSpaceDN/>
              <w:ind w:right="160"/>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1,283.30</w:t>
            </w:r>
          </w:p>
        </w:tc>
        <w:tc>
          <w:tcPr>
            <w:tcW w:w="3120" w:type="dxa"/>
            <w:shd w:val="clear" w:color="auto" w:fill="auto"/>
            <w:vAlign w:val="center"/>
          </w:tcPr>
          <w:p w:rsidR="00EC6A63" w:rsidRPr="00C735D8" w:rsidRDefault="00EC6A63" w:rsidP="00DB1BDF">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1,276.39</w:t>
            </w:r>
          </w:p>
        </w:tc>
      </w:tr>
    </w:tbl>
    <w:p w:rsidR="00EC6A63" w:rsidRPr="00C735D8" w:rsidRDefault="00EC6A63" w:rsidP="00EC6A63">
      <w:pPr>
        <w:wordWrap/>
        <w:rPr>
          <w:rFonts w:ascii="Arial" w:hAnsi="Arial" w:cs="Arial"/>
          <w:i/>
          <w:iCs/>
          <w:sz w:val="18"/>
          <w:szCs w:val="18"/>
        </w:rPr>
      </w:pPr>
      <w:r w:rsidRPr="00C735D8">
        <w:rPr>
          <w:rFonts w:ascii="Arial" w:hAnsi="Arial" w:cs="Arial"/>
          <w:i/>
          <w:iCs/>
          <w:sz w:val="18"/>
          <w:szCs w:val="18"/>
        </w:rPr>
        <w:t>(NOTE: Average exchange rates for the given annual period, retrieved from Korea Exchange Bank)</w:t>
      </w:r>
    </w:p>
    <w:p w:rsidR="00EC6A63" w:rsidRPr="00524A8B" w:rsidRDefault="00EC6A63" w:rsidP="00EC6A63">
      <w:pPr>
        <w:wordWrap/>
        <w:snapToGrid w:val="0"/>
        <w:spacing w:line="276" w:lineRule="auto"/>
        <w:ind w:rightChars="56" w:right="112"/>
        <w:rPr>
          <w:rFonts w:asciiTheme="minorBidi" w:hAnsiTheme="minorBidi" w:cstheme="minorBidi"/>
          <w:b/>
          <w:kern w:val="0"/>
          <w:sz w:val="22"/>
        </w:rPr>
      </w:pPr>
    </w:p>
    <w:p w:rsidR="00082EB2" w:rsidRPr="00AC73CE" w:rsidRDefault="00082EB2" w:rsidP="00082EB2">
      <w:pPr>
        <w:wordWrap/>
        <w:snapToGrid w:val="0"/>
        <w:spacing w:line="276" w:lineRule="auto"/>
        <w:ind w:rightChars="56" w:right="112"/>
        <w:rPr>
          <w:rFonts w:asciiTheme="minorBidi" w:hAnsiTheme="minorBidi" w:cstheme="minorBidi"/>
          <w:b/>
          <w:kern w:val="0"/>
          <w:sz w:val="22"/>
        </w:rPr>
      </w:pPr>
      <w:bookmarkStart w:id="0" w:name="_GoBack"/>
      <w:bookmarkEnd w:id="0"/>
    </w:p>
    <w:p w:rsidR="00C735D8" w:rsidRPr="00AC73CE" w:rsidRDefault="00C735D8" w:rsidP="00C764D7">
      <w:pPr>
        <w:widowControl/>
        <w:wordWrap/>
        <w:autoSpaceDE/>
        <w:autoSpaceDN/>
        <w:spacing w:after="200" w:line="276" w:lineRule="auto"/>
        <w:jc w:val="left"/>
        <w:rPr>
          <w:rFonts w:ascii="Times New Roman" w:eastAsia="Calibri"/>
          <w:b/>
          <w:bCs/>
          <w:kern w:val="0"/>
          <w:sz w:val="21"/>
          <w:szCs w:val="21"/>
        </w:rPr>
      </w:pPr>
    </w:p>
    <w:p w:rsidR="009C50CF" w:rsidRPr="00AC73CE" w:rsidRDefault="00C735D8" w:rsidP="00AC73CE">
      <w:pPr>
        <w:widowControl/>
        <w:wordWrap/>
        <w:autoSpaceDE/>
        <w:autoSpaceDN/>
        <w:spacing w:after="200" w:line="276" w:lineRule="auto"/>
        <w:jc w:val="left"/>
        <w:rPr>
          <w:rFonts w:ascii="Times New Roman" w:eastAsia="Calibri"/>
          <w:b/>
          <w:bCs/>
          <w:kern w:val="0"/>
          <w:sz w:val="21"/>
          <w:szCs w:val="21"/>
        </w:rPr>
      </w:pPr>
      <w:r w:rsidRPr="00AC73CE">
        <w:br w:type="page"/>
      </w:r>
      <w:r w:rsidR="009C50CF" w:rsidRPr="00FD6A7F">
        <w:rPr>
          <w:rFonts w:ascii="Times New Roman"/>
          <w:b/>
          <w:bCs/>
          <w:kern w:val="0"/>
          <w:sz w:val="21"/>
          <w:szCs w:val="21"/>
        </w:rPr>
        <w:lastRenderedPageBreak/>
        <w:t>Over Hankook</w:t>
      </w:r>
    </w:p>
    <w:p w:rsidR="009C50CF" w:rsidRPr="00FD6A7F" w:rsidRDefault="009C50CF" w:rsidP="009C50CF">
      <w:pPr>
        <w:wordWrap/>
        <w:spacing w:line="320" w:lineRule="exact"/>
        <w:rPr>
          <w:rFonts w:ascii="Times New Roman"/>
          <w:b/>
          <w:bCs/>
          <w:kern w:val="0"/>
          <w:sz w:val="21"/>
          <w:szCs w:val="21"/>
        </w:rPr>
      </w:pPr>
    </w:p>
    <w:p w:rsidR="009C50CF" w:rsidRDefault="009C50CF" w:rsidP="009C50CF">
      <w:pPr>
        <w:suppressAutoHyphens/>
        <w:wordWrap/>
        <w:spacing w:line="320" w:lineRule="exact"/>
        <w:rPr>
          <w:rFonts w:ascii="Times New Roman"/>
          <w:kern w:val="0"/>
          <w:sz w:val="21"/>
          <w:szCs w:val="21"/>
          <w:lang w:eastAsia="ko-KR"/>
        </w:rPr>
      </w:pPr>
      <w:r w:rsidRPr="00FD6A7F">
        <w:rPr>
          <w:rFonts w:ascii="Times New Roman"/>
          <w:kern w:val="0"/>
          <w:sz w:val="21"/>
          <w:szCs w:val="21"/>
        </w:rPr>
        <w:t xml:space="preserve">Als een van de vijf grootste bandenproducenten wereldwijd vervaardigt Hankook innovatieve, high performance </w:t>
      </w:r>
      <w:r>
        <w:rPr>
          <w:rFonts w:ascii="Times New Roman"/>
          <w:kern w:val="0"/>
          <w:sz w:val="21"/>
          <w:szCs w:val="21"/>
        </w:rPr>
        <w:t>radiaal</w:t>
      </w:r>
      <w:r w:rsidRPr="00FD6A7F">
        <w:rPr>
          <w:rFonts w:ascii="Times New Roman"/>
          <w:kern w:val="0"/>
          <w:sz w:val="21"/>
          <w:szCs w:val="21"/>
        </w:rPr>
        <w:t>banden voor het premium segment voor auto's, SUV's, terreinwage</w:t>
      </w:r>
      <w:r>
        <w:rPr>
          <w:rFonts w:ascii="Times New Roman"/>
          <w:kern w:val="0"/>
          <w:sz w:val="21"/>
          <w:szCs w:val="21"/>
        </w:rPr>
        <w:t>ns, lichte vrachtwagens</w:t>
      </w:r>
      <w:r w:rsidRPr="00FD6A7F">
        <w:rPr>
          <w:rFonts w:ascii="Times New Roman"/>
          <w:kern w:val="0"/>
          <w:sz w:val="21"/>
          <w:szCs w:val="21"/>
        </w:rPr>
        <w:t>, vrachtwagens en bussen evenals voor de autosport (racecircuit/ rally).</w:t>
      </w:r>
    </w:p>
    <w:p w:rsidR="009C50CF" w:rsidRDefault="009C50CF" w:rsidP="009C50CF">
      <w:pPr>
        <w:suppressAutoHyphens/>
        <w:wordWrap/>
        <w:spacing w:line="320" w:lineRule="exact"/>
        <w:rPr>
          <w:rFonts w:ascii="Times New Roman"/>
          <w:kern w:val="0"/>
          <w:sz w:val="21"/>
          <w:szCs w:val="21"/>
          <w:lang w:eastAsia="ko-KR"/>
        </w:rPr>
      </w:pPr>
    </w:p>
    <w:p w:rsidR="009C50CF" w:rsidRPr="00FD6A7F" w:rsidRDefault="009C50CF" w:rsidP="009C50CF">
      <w:pPr>
        <w:suppressAutoHyphens/>
        <w:wordWrap/>
        <w:spacing w:line="320" w:lineRule="exact"/>
        <w:rPr>
          <w:rFonts w:ascii="Times New Roman"/>
          <w:kern w:val="0"/>
          <w:sz w:val="21"/>
          <w:szCs w:val="21"/>
        </w:rPr>
      </w:pPr>
      <w:r w:rsidRPr="00FD6A7F">
        <w:rPr>
          <w:rFonts w:ascii="Times New Roman"/>
          <w:kern w:val="0"/>
          <w:sz w:val="21"/>
          <w:szCs w:val="21"/>
        </w:rPr>
        <w:t xml:space="preserve">Hankook investeert voortdurend in onderzoek en ontwikkeling om haar klanten steeds de hoogste kwaliteit in combinatie met </w:t>
      </w:r>
      <w:r>
        <w:rPr>
          <w:rFonts w:ascii="Times New Roman"/>
          <w:kern w:val="0"/>
          <w:sz w:val="21"/>
          <w:szCs w:val="21"/>
        </w:rPr>
        <w:t xml:space="preserve">uitstekende </w:t>
      </w:r>
      <w:r w:rsidRPr="00FD6A7F">
        <w:rPr>
          <w:rFonts w:ascii="Times New Roman"/>
          <w:kern w:val="0"/>
          <w:sz w:val="21"/>
          <w:szCs w:val="21"/>
        </w:rPr>
        <w:t xml:space="preserve">technologie </w:t>
      </w:r>
      <w:r>
        <w:rPr>
          <w:rFonts w:ascii="Times New Roman"/>
          <w:kern w:val="0"/>
          <w:sz w:val="21"/>
          <w:szCs w:val="21"/>
        </w:rPr>
        <w:t>t</w:t>
      </w:r>
      <w:r w:rsidRPr="00FD6A7F">
        <w:rPr>
          <w:rFonts w:ascii="Times New Roman"/>
          <w:kern w:val="0"/>
          <w:sz w:val="21"/>
          <w:szCs w:val="21"/>
        </w:rPr>
        <w:t xml:space="preserve">e bieden. In vijf ontwikkelingscentra en </w:t>
      </w:r>
      <w:r>
        <w:rPr>
          <w:rFonts w:ascii="Times New Roman"/>
          <w:kern w:val="0"/>
          <w:sz w:val="21"/>
          <w:szCs w:val="21"/>
        </w:rPr>
        <w:t>acht</w:t>
      </w:r>
      <w:r w:rsidRPr="00FD6A7F">
        <w:rPr>
          <w:rFonts w:ascii="Times New Roman"/>
          <w:kern w:val="0"/>
          <w:sz w:val="21"/>
          <w:szCs w:val="21"/>
        </w:rPr>
        <w:t xml:space="preserve"> grote fabrieken wereldwijd ontwikk</w:t>
      </w:r>
      <w:r>
        <w:rPr>
          <w:rFonts w:ascii="Times New Roman"/>
          <w:kern w:val="0"/>
          <w:sz w:val="21"/>
          <w:szCs w:val="21"/>
        </w:rPr>
        <w:t>elt en produceert Hankook</w:t>
      </w:r>
      <w:r w:rsidRPr="00FD6A7F">
        <w:rPr>
          <w:rFonts w:ascii="Times New Roman"/>
          <w:kern w:val="0"/>
          <w:sz w:val="21"/>
          <w:szCs w:val="21"/>
        </w:rPr>
        <w:t xml:space="preserve"> bandoplossingen, die specifiek zijn afgestemd op de wensen en eisen van de regionale markten. In Europa vindt de bandontwikkeling voor de lokale markten en </w:t>
      </w:r>
      <w:r>
        <w:rPr>
          <w:rFonts w:ascii="Times New Roman" w:hint="eastAsia"/>
          <w:kern w:val="0"/>
          <w:sz w:val="21"/>
          <w:szCs w:val="21"/>
          <w:lang w:eastAsia="ko-KR"/>
        </w:rPr>
        <w:t>eerste montage</w:t>
      </w:r>
      <w:r w:rsidRPr="00FD6A7F">
        <w:rPr>
          <w:rFonts w:ascii="Times New Roman"/>
          <w:kern w:val="0"/>
          <w:sz w:val="21"/>
          <w:szCs w:val="21"/>
        </w:rPr>
        <w:t xml:space="preserve"> plaats in overeenstemming met de toonaangevende Europese autofabrik</w:t>
      </w:r>
      <w:r>
        <w:rPr>
          <w:rFonts w:ascii="Times New Roman"/>
          <w:kern w:val="0"/>
          <w:sz w:val="21"/>
          <w:szCs w:val="21"/>
        </w:rPr>
        <w:t xml:space="preserve">anten in het regionale technisch </w:t>
      </w:r>
      <w:r w:rsidRPr="00FD6A7F">
        <w:rPr>
          <w:rFonts w:ascii="Times New Roman"/>
          <w:kern w:val="0"/>
          <w:sz w:val="21"/>
          <w:szCs w:val="21"/>
        </w:rPr>
        <w:t>centrum in Hannover/Duitsland. De ba</w:t>
      </w:r>
      <w:r>
        <w:rPr>
          <w:rFonts w:ascii="Times New Roman"/>
          <w:kern w:val="0"/>
          <w:sz w:val="21"/>
          <w:szCs w:val="21"/>
        </w:rPr>
        <w:t>nden w</w:t>
      </w:r>
      <w:r>
        <w:rPr>
          <w:rFonts w:ascii="Times New Roman" w:hint="eastAsia"/>
          <w:kern w:val="0"/>
          <w:sz w:val="21"/>
          <w:szCs w:val="21"/>
          <w:lang w:eastAsia="ko-KR"/>
        </w:rPr>
        <w:t>o</w:t>
      </w:r>
      <w:r w:rsidRPr="00FD6A7F">
        <w:rPr>
          <w:rFonts w:ascii="Times New Roman"/>
          <w:kern w:val="0"/>
          <w:sz w:val="21"/>
          <w:szCs w:val="21"/>
        </w:rPr>
        <w:t>rden onder andere geproduceerd in de ul</w:t>
      </w:r>
      <w:r>
        <w:rPr>
          <w:rFonts w:ascii="Times New Roman"/>
          <w:kern w:val="0"/>
          <w:sz w:val="21"/>
          <w:szCs w:val="21"/>
        </w:rPr>
        <w:t>tra-moderne Europese fabriek</w:t>
      </w:r>
      <w:r w:rsidRPr="00FD6A7F">
        <w:rPr>
          <w:rFonts w:ascii="Times New Roman"/>
          <w:kern w:val="0"/>
          <w:sz w:val="21"/>
          <w:szCs w:val="21"/>
        </w:rPr>
        <w:t xml:space="preserve"> in Rácalmás/ Hongarije, die in 2007 werd ingewijd en voortdurend uitgebreid wordt. Momenteel produceren meer dan 3.000 medewerkers tot 19 miljoen banden per jaar voor personenauto's, SUV's en lichte vrachtwagens.</w:t>
      </w:r>
    </w:p>
    <w:p w:rsidR="009C50CF" w:rsidRPr="00FD6A7F" w:rsidRDefault="009C50CF" w:rsidP="009C50CF">
      <w:pPr>
        <w:suppressAutoHyphens/>
        <w:wordWrap/>
        <w:spacing w:line="320" w:lineRule="exact"/>
        <w:rPr>
          <w:rFonts w:ascii="Times New Roman"/>
          <w:kern w:val="0"/>
          <w:sz w:val="21"/>
          <w:szCs w:val="21"/>
        </w:rPr>
      </w:pPr>
    </w:p>
    <w:p w:rsidR="009C50CF" w:rsidRPr="00297D63" w:rsidRDefault="009C50CF" w:rsidP="009C50CF">
      <w:pPr>
        <w:suppressAutoHyphens/>
        <w:wordWrap/>
        <w:spacing w:line="320" w:lineRule="exact"/>
        <w:rPr>
          <w:rFonts w:ascii="Times New Roman"/>
          <w:kern w:val="0"/>
          <w:sz w:val="21"/>
          <w:szCs w:val="21"/>
          <w:lang w:val="en-US"/>
        </w:rPr>
      </w:pPr>
      <w:r w:rsidRPr="00FD6A7F">
        <w:rPr>
          <w:rFonts w:ascii="Times New Roman"/>
          <w:kern w:val="0"/>
          <w:sz w:val="21"/>
          <w:szCs w:val="21"/>
        </w:rPr>
        <w:t>Het Europese hoofdkwartier van de bandenfabrikant is gevestigd in Neu-Isenburg</w:t>
      </w:r>
      <w:r>
        <w:rPr>
          <w:rFonts w:ascii="Times New Roman"/>
          <w:kern w:val="0"/>
          <w:sz w:val="21"/>
          <w:szCs w:val="21"/>
        </w:rPr>
        <w:t>, Duitsland</w:t>
      </w:r>
      <w:r w:rsidRPr="00FD6A7F">
        <w:rPr>
          <w:rFonts w:ascii="Times New Roman"/>
          <w:kern w:val="0"/>
          <w:sz w:val="21"/>
          <w:szCs w:val="21"/>
        </w:rPr>
        <w:t xml:space="preserve"> in de buurt van Frankfurt am Mai</w:t>
      </w:r>
      <w:r>
        <w:rPr>
          <w:rFonts w:ascii="Times New Roman"/>
          <w:kern w:val="0"/>
          <w:sz w:val="21"/>
          <w:szCs w:val="21"/>
        </w:rPr>
        <w:t>n. In Europa heeft Hankook</w:t>
      </w:r>
      <w:r w:rsidRPr="00FD6A7F">
        <w:rPr>
          <w:rFonts w:ascii="Times New Roman"/>
          <w:kern w:val="0"/>
          <w:sz w:val="21"/>
          <w:szCs w:val="21"/>
        </w:rPr>
        <w:t xml:space="preserve"> kantoren in Frankrijk</w:t>
      </w:r>
      <w:r>
        <w:rPr>
          <w:rFonts w:ascii="Times New Roman"/>
          <w:kern w:val="0"/>
          <w:sz w:val="21"/>
          <w:szCs w:val="21"/>
        </w:rPr>
        <w:t>,</w:t>
      </w:r>
      <w:r w:rsidRPr="00FD6A7F">
        <w:rPr>
          <w:rFonts w:ascii="Times New Roman"/>
          <w:kern w:val="0"/>
          <w:sz w:val="21"/>
          <w:szCs w:val="21"/>
        </w:rPr>
        <w:t xml:space="preserve"> Hongarije</w:t>
      </w:r>
      <w:r>
        <w:rPr>
          <w:rFonts w:ascii="Times New Roman"/>
          <w:kern w:val="0"/>
          <w:sz w:val="21"/>
          <w:szCs w:val="21"/>
        </w:rPr>
        <w:t>,</w:t>
      </w:r>
      <w:r w:rsidRPr="00FD6A7F">
        <w:rPr>
          <w:rFonts w:ascii="Times New Roman"/>
          <w:kern w:val="0"/>
          <w:sz w:val="21"/>
          <w:szCs w:val="21"/>
        </w:rPr>
        <w:t xml:space="preserve"> Italië</w:t>
      </w:r>
      <w:r>
        <w:rPr>
          <w:rFonts w:ascii="Times New Roman"/>
          <w:kern w:val="0"/>
          <w:sz w:val="21"/>
          <w:szCs w:val="21"/>
        </w:rPr>
        <w:t>,</w:t>
      </w:r>
      <w:r w:rsidRPr="00FD6A7F">
        <w:rPr>
          <w:rFonts w:ascii="Times New Roman"/>
          <w:kern w:val="0"/>
          <w:sz w:val="21"/>
          <w:szCs w:val="21"/>
        </w:rPr>
        <w:t xml:space="preserve"> Nederland</w:t>
      </w:r>
      <w:r>
        <w:rPr>
          <w:rFonts w:ascii="Times New Roman"/>
          <w:kern w:val="0"/>
          <w:sz w:val="21"/>
          <w:szCs w:val="21"/>
        </w:rPr>
        <w:t xml:space="preserve">, Oekraine, </w:t>
      </w:r>
      <w:r w:rsidRPr="00297D63">
        <w:rPr>
          <w:rFonts w:ascii="Times New Roman"/>
          <w:kern w:val="0"/>
          <w:sz w:val="21"/>
          <w:szCs w:val="21"/>
        </w:rPr>
        <w:t xml:space="preserve"> </w:t>
      </w:r>
      <w:r w:rsidRPr="00FD6A7F">
        <w:rPr>
          <w:rFonts w:ascii="Times New Roman"/>
          <w:kern w:val="0"/>
          <w:sz w:val="21"/>
          <w:szCs w:val="21"/>
        </w:rPr>
        <w:t>Polen</w:t>
      </w:r>
      <w:r>
        <w:rPr>
          <w:rFonts w:ascii="Times New Roman"/>
          <w:kern w:val="0"/>
          <w:sz w:val="21"/>
          <w:szCs w:val="21"/>
        </w:rPr>
        <w:t>,</w:t>
      </w:r>
      <w:r w:rsidRPr="00FD6A7F">
        <w:rPr>
          <w:rFonts w:ascii="Times New Roman"/>
          <w:kern w:val="0"/>
          <w:sz w:val="21"/>
          <w:szCs w:val="21"/>
        </w:rPr>
        <w:t xml:space="preserve"> Rusland</w:t>
      </w:r>
      <w:r>
        <w:rPr>
          <w:rFonts w:ascii="Times New Roman"/>
          <w:kern w:val="0"/>
          <w:sz w:val="21"/>
          <w:szCs w:val="21"/>
        </w:rPr>
        <w:t>,</w:t>
      </w:r>
      <w:r w:rsidRPr="00FD6A7F">
        <w:rPr>
          <w:rFonts w:ascii="Times New Roman"/>
          <w:kern w:val="0"/>
          <w:sz w:val="21"/>
          <w:szCs w:val="21"/>
        </w:rPr>
        <w:t xml:space="preserve"> Spanje</w:t>
      </w:r>
      <w:r>
        <w:rPr>
          <w:rFonts w:ascii="Times New Roman"/>
          <w:kern w:val="0"/>
          <w:sz w:val="21"/>
          <w:szCs w:val="21"/>
        </w:rPr>
        <w:t xml:space="preserve">, Tsjechië, </w:t>
      </w:r>
      <w:r w:rsidRPr="00FD6A7F">
        <w:rPr>
          <w:rFonts w:ascii="Times New Roman"/>
          <w:kern w:val="0"/>
          <w:sz w:val="21"/>
          <w:szCs w:val="21"/>
        </w:rPr>
        <w:t>Turkije</w:t>
      </w:r>
      <w:r>
        <w:rPr>
          <w:rFonts w:ascii="Times New Roman"/>
          <w:kern w:val="0"/>
          <w:sz w:val="21"/>
          <w:szCs w:val="21"/>
        </w:rPr>
        <w:t>, Verenigd Koninkrijk en</w:t>
      </w:r>
      <w:r w:rsidRPr="00FD6A7F">
        <w:rPr>
          <w:rFonts w:ascii="Times New Roman"/>
          <w:kern w:val="0"/>
          <w:sz w:val="21"/>
          <w:szCs w:val="21"/>
        </w:rPr>
        <w:t xml:space="preserve"> Zweden. Hankook banden worden rechtstreeks via regionale distributeurs in andere Europese landen verkocht. Wereldwijd biedt </w:t>
      </w:r>
      <w:r>
        <w:rPr>
          <w:rFonts w:ascii="Times New Roman"/>
          <w:kern w:val="0"/>
          <w:sz w:val="21"/>
          <w:szCs w:val="21"/>
        </w:rPr>
        <w:t>Hankook</w:t>
      </w:r>
      <w:r w:rsidRPr="00FD6A7F">
        <w:rPr>
          <w:rFonts w:ascii="Times New Roman"/>
          <w:kern w:val="0"/>
          <w:sz w:val="21"/>
          <w:szCs w:val="21"/>
        </w:rPr>
        <w:t xml:space="preserve"> werk aan 22.000 mensen en levert haar producten in meer dan 180 landen. Toonaangevende autofabrikanten vertrouwen bij de </w:t>
      </w:r>
      <w:r>
        <w:rPr>
          <w:rFonts w:ascii="Times New Roman" w:hint="eastAsia"/>
          <w:kern w:val="0"/>
          <w:sz w:val="21"/>
          <w:szCs w:val="21"/>
          <w:lang w:eastAsia="ko-KR"/>
        </w:rPr>
        <w:t>eerste montage</w:t>
      </w:r>
      <w:r w:rsidRPr="00FD6A7F">
        <w:rPr>
          <w:rFonts w:ascii="Times New Roman"/>
          <w:kern w:val="0"/>
          <w:sz w:val="21"/>
          <w:szCs w:val="21"/>
        </w:rPr>
        <w:t xml:space="preserve"> op banden van Hankook. Ongeveer 30 procent van de wereldwijde omzet van de onderneming is afkomstig uit Europa en het G</w:t>
      </w:r>
      <w:r>
        <w:rPr>
          <w:rFonts w:ascii="Times New Roman" w:hint="eastAsia"/>
          <w:kern w:val="0"/>
          <w:sz w:val="21"/>
          <w:szCs w:val="21"/>
          <w:lang w:eastAsia="ko-KR"/>
        </w:rPr>
        <w:t>emenebest van Onafhankelijke Staten</w:t>
      </w:r>
      <w:r w:rsidRPr="00FD6A7F">
        <w:rPr>
          <w:rFonts w:ascii="Times New Roman"/>
          <w:kern w:val="0"/>
          <w:sz w:val="21"/>
          <w:szCs w:val="21"/>
        </w:rPr>
        <w:t>.</w:t>
      </w:r>
      <w:r>
        <w:rPr>
          <w:rFonts w:ascii="Times New Roman"/>
          <w:kern w:val="0"/>
          <w:sz w:val="21"/>
          <w:szCs w:val="21"/>
        </w:rPr>
        <w:t xml:space="preserve"> </w:t>
      </w:r>
      <w:r w:rsidRPr="00297D63">
        <w:rPr>
          <w:rFonts w:ascii="Times New Roman"/>
          <w:kern w:val="0"/>
          <w:sz w:val="21"/>
          <w:szCs w:val="21"/>
          <w:lang w:val="en-US"/>
        </w:rPr>
        <w:t xml:space="preserve">Hankook Tire is </w:t>
      </w:r>
      <w:proofErr w:type="spellStart"/>
      <w:r w:rsidRPr="00297D63">
        <w:rPr>
          <w:rFonts w:ascii="Times New Roman"/>
          <w:kern w:val="0"/>
          <w:sz w:val="21"/>
          <w:szCs w:val="21"/>
          <w:lang w:val="en-US"/>
        </w:rPr>
        <w:t>sinds</w:t>
      </w:r>
      <w:proofErr w:type="spellEnd"/>
      <w:r w:rsidRPr="00297D63">
        <w:rPr>
          <w:rFonts w:ascii="Times New Roman"/>
          <w:kern w:val="0"/>
          <w:sz w:val="21"/>
          <w:szCs w:val="21"/>
          <w:lang w:val="en-US"/>
        </w:rPr>
        <w:t xml:space="preserve"> 2016 </w:t>
      </w:r>
      <w:proofErr w:type="spellStart"/>
      <w:r w:rsidRPr="00297D63">
        <w:rPr>
          <w:rFonts w:ascii="Times New Roman"/>
          <w:kern w:val="0"/>
          <w:sz w:val="21"/>
          <w:szCs w:val="21"/>
          <w:lang w:val="en-US"/>
        </w:rPr>
        <w:t>opgenomen</w:t>
      </w:r>
      <w:proofErr w:type="spellEnd"/>
      <w:r w:rsidRPr="00297D63">
        <w:rPr>
          <w:rFonts w:ascii="Times New Roman"/>
          <w:kern w:val="0"/>
          <w:sz w:val="21"/>
          <w:szCs w:val="21"/>
          <w:lang w:val="en-US"/>
        </w:rPr>
        <w:t xml:space="preserve"> in de Dow Jones Sustainability Index World (DJSI World).</w:t>
      </w:r>
    </w:p>
    <w:p w:rsidR="009C50CF" w:rsidRPr="00297D63" w:rsidRDefault="009C50CF" w:rsidP="009C50CF">
      <w:pPr>
        <w:wordWrap/>
        <w:snapToGrid w:val="0"/>
        <w:spacing w:line="320" w:lineRule="exact"/>
        <w:rPr>
          <w:rFonts w:ascii="Times New Roman"/>
          <w:bCs/>
          <w:kern w:val="0"/>
          <w:sz w:val="21"/>
          <w:szCs w:val="21"/>
          <w:lang w:val="en-US"/>
        </w:rPr>
      </w:pPr>
    </w:p>
    <w:p w:rsidR="009C50CF" w:rsidRPr="00FD6A7F" w:rsidRDefault="009C50CF" w:rsidP="009C50CF">
      <w:pPr>
        <w:wordWrap/>
        <w:snapToGrid w:val="0"/>
        <w:spacing w:line="320" w:lineRule="exact"/>
        <w:rPr>
          <w:rFonts w:ascii="Times New Roman"/>
          <w:bCs/>
          <w:kern w:val="0"/>
          <w:sz w:val="21"/>
          <w:szCs w:val="21"/>
        </w:rPr>
      </w:pPr>
      <w:r w:rsidRPr="00FD6A7F">
        <w:rPr>
          <w:rFonts w:ascii="Times New Roman"/>
          <w:bCs/>
          <w:kern w:val="0"/>
          <w:sz w:val="21"/>
          <w:szCs w:val="21"/>
        </w:rPr>
        <w:t xml:space="preserve">Verdere informatie vindt u via </w:t>
      </w:r>
      <w:hyperlink r:id="rId8" w:history="1">
        <w:r>
          <w:rPr>
            <w:rFonts w:ascii="Times New Roman"/>
            <w:bCs/>
            <w:color w:val="0000FF"/>
            <w:kern w:val="0"/>
            <w:sz w:val="21"/>
            <w:u w:val="single"/>
          </w:rPr>
          <w:t>www.hankooktire-mediacenter</w:t>
        </w:r>
        <w:r w:rsidRPr="00FD6A7F">
          <w:rPr>
            <w:rFonts w:ascii="Times New Roman"/>
            <w:bCs/>
            <w:color w:val="0000FF"/>
            <w:kern w:val="0"/>
            <w:sz w:val="21"/>
            <w:u w:val="single"/>
          </w:rPr>
          <w:t>.com</w:t>
        </w:r>
      </w:hyperlink>
      <w:r w:rsidRPr="00FD6A7F">
        <w:rPr>
          <w:rFonts w:ascii="Times New Roman"/>
          <w:bCs/>
          <w:kern w:val="0"/>
          <w:sz w:val="21"/>
          <w:szCs w:val="21"/>
        </w:rPr>
        <w:t xml:space="preserve"> of </w:t>
      </w:r>
      <w:hyperlink r:id="rId9" w:history="1">
        <w:r>
          <w:rPr>
            <w:rFonts w:ascii="Times New Roman"/>
            <w:bCs/>
            <w:color w:val="0000FF"/>
            <w:kern w:val="0"/>
            <w:sz w:val="21"/>
            <w:u w:val="single"/>
          </w:rPr>
          <w:t>www.hankooktire</w:t>
        </w:r>
        <w:r w:rsidRPr="00FD6A7F">
          <w:rPr>
            <w:rFonts w:ascii="Times New Roman"/>
            <w:bCs/>
            <w:color w:val="0000FF"/>
            <w:kern w:val="0"/>
            <w:sz w:val="21"/>
            <w:u w:val="single"/>
          </w:rPr>
          <w:t>.com</w:t>
        </w:r>
      </w:hyperlink>
    </w:p>
    <w:p w:rsidR="004D6945" w:rsidRPr="009C50CF" w:rsidRDefault="004D6945" w:rsidP="004D6945">
      <w:pPr>
        <w:wordWrap/>
        <w:spacing w:line="276" w:lineRule="auto"/>
        <w:rPr>
          <w:u w:val="single"/>
        </w:rPr>
      </w:pPr>
    </w:p>
    <w:p w:rsidR="004D6945" w:rsidRPr="009C50CF" w:rsidRDefault="004D6945" w:rsidP="00C764D7">
      <w:pPr>
        <w:wordWrap/>
        <w:spacing w:line="320" w:lineRule="exact"/>
        <w:rPr>
          <w:rFonts w:ascii="Times New Roman"/>
          <w:b/>
          <w:bCs/>
          <w:sz w:val="21"/>
          <w:szCs w:val="21"/>
        </w:rPr>
      </w:pPr>
    </w:p>
    <w:p w:rsidR="00C764D7" w:rsidRPr="009C50CF"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CF0140">
        <w:tc>
          <w:tcPr>
            <w:tcW w:w="9437" w:type="dxa"/>
            <w:gridSpan w:val="4"/>
            <w:shd w:val="clear" w:color="auto" w:fill="F2F2F2"/>
          </w:tcPr>
          <w:p w:rsidR="00C764D7" w:rsidRPr="000D561A" w:rsidRDefault="00C764D7" w:rsidP="00CF0140">
            <w:pPr>
              <w:wordWrap/>
              <w:spacing w:line="320" w:lineRule="exact"/>
              <w:rPr>
                <w:rFonts w:ascii="Times New Roman"/>
                <w:b/>
                <w:bCs/>
                <w:sz w:val="21"/>
                <w:szCs w:val="21"/>
                <w:u w:val="single"/>
              </w:rPr>
            </w:pPr>
            <w:r w:rsidRPr="000D561A">
              <w:rPr>
                <w:rFonts w:ascii="Times New Roman"/>
                <w:b/>
                <w:sz w:val="21"/>
                <w:u w:val="single"/>
              </w:rPr>
              <w:t>Contact:</w:t>
            </w:r>
          </w:p>
          <w:p w:rsidR="00C764D7" w:rsidRPr="00F31AEC" w:rsidRDefault="00C764D7" w:rsidP="00CF0140">
            <w:pPr>
              <w:wordWrap/>
              <w:spacing w:line="320" w:lineRule="exact"/>
              <w:rPr>
                <w:rFonts w:ascii="Times New Roman"/>
                <w:sz w:val="16"/>
                <w:szCs w:val="16"/>
              </w:rPr>
            </w:pPr>
            <w:r w:rsidRPr="000D561A">
              <w:rPr>
                <w:rFonts w:ascii="Times New Roman"/>
                <w:b/>
                <w:sz w:val="16"/>
              </w:rPr>
              <w:t xml:space="preserve">Hankook Tire Europe GmbH | </w:t>
            </w:r>
            <w:r w:rsidRPr="000D561A">
              <w:rPr>
                <w:rFonts w:ascii="Times New Roman"/>
                <w:sz w:val="16"/>
              </w:rPr>
              <w:t>Corporate Communications Europe/CIS</w:t>
            </w:r>
            <w:r w:rsidRPr="000D561A">
              <w:rPr>
                <w:rFonts w:ascii="Times New Roman"/>
                <w:b/>
                <w:sz w:val="16"/>
              </w:rPr>
              <w:t xml:space="preserve"> | </w:t>
            </w:r>
            <w:r w:rsidRPr="000D561A">
              <w:rPr>
                <w:rFonts w:ascii="Times New Roman"/>
                <w:sz w:val="16"/>
              </w:rPr>
              <w:t xml:space="preserve">Siemensstr. </w:t>
            </w:r>
            <w:r>
              <w:rPr>
                <w:rFonts w:ascii="Times New Roman"/>
                <w:sz w:val="16"/>
              </w:rPr>
              <w:t>14, 63263 Neu-Isenburg | Germany</w:t>
            </w:r>
          </w:p>
          <w:p w:rsidR="00C764D7" w:rsidRPr="00F31AEC" w:rsidRDefault="00C764D7" w:rsidP="00CF0140">
            <w:pPr>
              <w:wordWrap/>
              <w:spacing w:line="200" w:lineRule="exact"/>
              <w:rPr>
                <w:rFonts w:ascii="Times New Roman"/>
                <w:sz w:val="21"/>
                <w:szCs w:val="21"/>
                <w:u w:val="single"/>
              </w:rPr>
            </w:pPr>
          </w:p>
        </w:tc>
      </w:tr>
      <w:tr w:rsidR="00C735D8" w:rsidRPr="004D6945" w:rsidTr="00CF0140">
        <w:tc>
          <w:tcPr>
            <w:tcW w:w="2359" w:type="dxa"/>
            <w:shd w:val="clear" w:color="auto" w:fill="F2F2F2"/>
          </w:tcPr>
          <w:p w:rsidR="00C735D8" w:rsidRPr="00F31AEC" w:rsidRDefault="00C735D8" w:rsidP="00C735D8">
            <w:pPr>
              <w:wordWrap/>
              <w:spacing w:line="200" w:lineRule="exact"/>
              <w:rPr>
                <w:rFonts w:ascii="Times New Roman"/>
                <w:b/>
                <w:snapToGrid w:val="0"/>
                <w:sz w:val="16"/>
                <w:szCs w:val="16"/>
              </w:rPr>
            </w:pPr>
            <w:r>
              <w:rPr>
                <w:rFonts w:ascii="Times New Roman"/>
                <w:b/>
                <w:snapToGrid w:val="0"/>
                <w:sz w:val="16"/>
              </w:rPr>
              <w:t>Felix Kinzer</w:t>
            </w:r>
          </w:p>
          <w:p w:rsidR="00C735D8" w:rsidRPr="00F31AEC" w:rsidRDefault="00C735D8" w:rsidP="00C735D8">
            <w:pPr>
              <w:wordWrap/>
              <w:spacing w:line="200" w:lineRule="exact"/>
              <w:rPr>
                <w:rFonts w:ascii="Times New Roman"/>
                <w:snapToGrid w:val="0"/>
                <w:sz w:val="16"/>
                <w:szCs w:val="16"/>
              </w:rPr>
            </w:pPr>
            <w:r>
              <w:rPr>
                <w:rFonts w:ascii="Times New Roman"/>
                <w:snapToGrid w:val="0"/>
                <w:sz w:val="16"/>
              </w:rPr>
              <w:t>Director</w:t>
            </w:r>
          </w:p>
          <w:p w:rsidR="00C735D8" w:rsidRPr="00F31AEC" w:rsidRDefault="00C735D8" w:rsidP="00C735D8">
            <w:pPr>
              <w:wordWrap/>
              <w:spacing w:line="200" w:lineRule="exact"/>
              <w:rPr>
                <w:rFonts w:ascii="Times New Roman"/>
                <w:snapToGrid w:val="0"/>
                <w:sz w:val="16"/>
                <w:szCs w:val="16"/>
              </w:rPr>
            </w:pPr>
            <w:r>
              <w:rPr>
                <w:rFonts w:ascii="Times New Roman"/>
                <w:snapToGrid w:val="0"/>
                <w:sz w:val="16"/>
              </w:rPr>
              <w:t>Tel.: +49 (0) 61 02 8149 – 170</w:t>
            </w:r>
          </w:p>
          <w:p w:rsidR="00C735D8" w:rsidRPr="00F31AEC" w:rsidRDefault="005E7A59" w:rsidP="00C735D8">
            <w:pPr>
              <w:rPr>
                <w:rFonts w:ascii="Times New Roman"/>
                <w:snapToGrid w:val="0"/>
                <w:sz w:val="16"/>
                <w:szCs w:val="16"/>
              </w:rPr>
            </w:pPr>
            <w:hyperlink r:id="rId10">
              <w:r w:rsidR="00D179F9">
                <w:rPr>
                  <w:rFonts w:ascii="Times New Roman"/>
                  <w:snapToGrid w:val="0"/>
                  <w:color w:val="0000FF"/>
                  <w:sz w:val="16"/>
                  <w:u w:val="single"/>
                </w:rPr>
                <w:t>f.kinzer@hankookreifen.de</w:t>
              </w:r>
            </w:hyperlink>
          </w:p>
          <w:p w:rsidR="00C735D8" w:rsidRPr="00F31AEC" w:rsidRDefault="00C735D8" w:rsidP="00C735D8">
            <w:pPr>
              <w:wordWrap/>
              <w:spacing w:line="200" w:lineRule="exact"/>
              <w:rPr>
                <w:rFonts w:ascii="Times New Roman"/>
                <w:snapToGrid w:val="0"/>
                <w:sz w:val="16"/>
                <w:szCs w:val="16"/>
              </w:rPr>
            </w:pPr>
          </w:p>
        </w:tc>
        <w:tc>
          <w:tcPr>
            <w:tcW w:w="2359" w:type="dxa"/>
            <w:shd w:val="clear" w:color="auto" w:fill="F2F2F2"/>
          </w:tcPr>
          <w:p w:rsidR="00C735D8" w:rsidRPr="00013A02" w:rsidRDefault="00C735D8" w:rsidP="00C735D8">
            <w:pPr>
              <w:wordWrap/>
              <w:spacing w:line="200" w:lineRule="exact"/>
              <w:rPr>
                <w:rFonts w:ascii="Times New Roman" w:eastAsia="Times New Roman"/>
                <w:b/>
                <w:color w:val="00000A"/>
                <w:kern w:val="0"/>
                <w:sz w:val="16"/>
                <w:szCs w:val="16"/>
              </w:rPr>
            </w:pPr>
            <w:r>
              <w:rPr>
                <w:rFonts w:ascii="Times New Roman"/>
                <w:b/>
                <w:color w:val="00000A"/>
                <w:sz w:val="16"/>
                <w:szCs w:val="16"/>
              </w:rPr>
              <w:t xml:space="preserve">Sabine </w:t>
            </w:r>
            <w:r>
              <w:rPr>
                <w:rFonts w:ascii="Times New Roman"/>
                <w:b/>
                <w:snapToGrid w:val="0"/>
                <w:sz w:val="16"/>
              </w:rPr>
              <w:t>Riedel</w:t>
            </w:r>
          </w:p>
          <w:p w:rsidR="00C735D8" w:rsidRPr="00013A02" w:rsidRDefault="00C735D8" w:rsidP="00C735D8">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rPr>
            </w:pPr>
            <w:r>
              <w:rPr>
                <w:rFonts w:ascii="Times New Roman"/>
                <w:color w:val="00000A"/>
                <w:sz w:val="16"/>
                <w:szCs w:val="16"/>
              </w:rPr>
              <w:t>PR-Manager</w:t>
            </w:r>
          </w:p>
          <w:p w:rsidR="00C735D8" w:rsidRPr="007E0CC3" w:rsidRDefault="00C735D8" w:rsidP="00C735D8">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rPr>
            </w:pPr>
            <w:r>
              <w:rPr>
                <w:rFonts w:ascii="Times New Roman"/>
                <w:color w:val="00000A"/>
                <w:sz w:val="16"/>
                <w:szCs w:val="16"/>
              </w:rPr>
              <w:t xml:space="preserve">Tel.: +49 (0) 6102 8149 </w:t>
            </w:r>
            <w:r>
              <w:rPr>
                <w:rFonts w:ascii="Times New Roman"/>
                <w:snapToGrid w:val="0"/>
                <w:color w:val="00000A"/>
                <w:sz w:val="16"/>
                <w:szCs w:val="16"/>
              </w:rPr>
              <w:t>– 174</w:t>
            </w:r>
          </w:p>
          <w:p w:rsidR="00C735D8" w:rsidRPr="00013A02" w:rsidRDefault="005E7A59" w:rsidP="00C735D8">
            <w:pPr>
              <w:suppressAutoHyphens/>
              <w:wordWrap/>
              <w:autoSpaceDE/>
              <w:autoSpaceDN/>
              <w:spacing w:line="220" w:lineRule="exact"/>
              <w:rPr>
                <w:rFonts w:ascii="Times New Roman" w:eastAsia="Times New Roman"/>
                <w:color w:val="00000A"/>
                <w:kern w:val="0"/>
                <w:sz w:val="21"/>
                <w:szCs w:val="21"/>
              </w:rPr>
            </w:pPr>
            <w:hyperlink r:id="rId11" w:history="1">
              <w:r w:rsidR="00D179F9">
                <w:rPr>
                  <w:rFonts w:ascii="Times New Roman"/>
                  <w:color w:val="0000FF"/>
                  <w:sz w:val="16"/>
                  <w:szCs w:val="16"/>
                  <w:u w:val="single"/>
                </w:rPr>
                <w:t>s.riedel@hankookreifen.de</w:t>
              </w:r>
            </w:hyperlink>
            <w:r w:rsidR="00D179F9">
              <w:rPr>
                <w:rFonts w:ascii="Times New Roman"/>
                <w:color w:val="00000A"/>
                <w:sz w:val="16"/>
                <w:szCs w:val="16"/>
              </w:rPr>
              <w:t xml:space="preserve"> </w:t>
            </w:r>
          </w:p>
        </w:tc>
        <w:tc>
          <w:tcPr>
            <w:tcW w:w="2359" w:type="dxa"/>
            <w:shd w:val="clear" w:color="auto" w:fill="F2F2F2"/>
          </w:tcPr>
          <w:p w:rsidR="00C735D8" w:rsidRPr="004D6945" w:rsidRDefault="00C735D8" w:rsidP="00C735D8">
            <w:pPr>
              <w:wordWrap/>
              <w:spacing w:line="200" w:lineRule="exact"/>
              <w:rPr>
                <w:rFonts w:ascii="Times New Roman"/>
                <w:sz w:val="21"/>
                <w:szCs w:val="21"/>
              </w:rPr>
            </w:pPr>
          </w:p>
        </w:tc>
        <w:tc>
          <w:tcPr>
            <w:tcW w:w="2360" w:type="dxa"/>
            <w:shd w:val="clear" w:color="auto" w:fill="F2F2F2"/>
          </w:tcPr>
          <w:p w:rsidR="00C735D8" w:rsidRPr="004D6945" w:rsidRDefault="00C735D8" w:rsidP="00C735D8">
            <w:pPr>
              <w:wordWrap/>
              <w:spacing w:line="200" w:lineRule="exact"/>
              <w:rPr>
                <w:rFonts w:ascii="Times New Roman"/>
                <w:sz w:val="21"/>
                <w:szCs w:val="21"/>
              </w:rPr>
            </w:pPr>
          </w:p>
        </w:tc>
      </w:tr>
    </w:tbl>
    <w:p w:rsidR="00C764D7" w:rsidRPr="004D6945" w:rsidRDefault="00C764D7" w:rsidP="00C764D7">
      <w:pPr>
        <w:tabs>
          <w:tab w:val="left" w:pos="142"/>
        </w:tabs>
        <w:wordWrap/>
        <w:rPr>
          <w:rFonts w:ascii="Times New Roman" w:eastAsia="Times New Roman"/>
          <w:kern w:val="0"/>
          <w:sz w:val="21"/>
          <w:szCs w:val="21"/>
        </w:rPr>
      </w:pPr>
    </w:p>
    <w:p w:rsidR="00C764D7" w:rsidRPr="004D6945" w:rsidRDefault="00C764D7" w:rsidP="00C764D7"/>
    <w:p w:rsidR="003A269D" w:rsidRPr="004D6945" w:rsidRDefault="003A269D"/>
    <w:sectPr w:rsidR="003A269D" w:rsidRPr="004D6945" w:rsidSect="00AF1B87">
      <w:headerReference w:type="default" r:id="rId12"/>
      <w:pgSz w:w="11906" w:h="16838"/>
      <w:pgMar w:top="2127"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59" w:rsidRDefault="005E7A59">
      <w:r>
        <w:separator/>
      </w:r>
    </w:p>
  </w:endnote>
  <w:endnote w:type="continuationSeparator" w:id="0">
    <w:p w:rsidR="005E7A59" w:rsidRDefault="005E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59" w:rsidRDefault="005E7A59">
      <w:r>
        <w:separator/>
      </w:r>
    </w:p>
  </w:footnote>
  <w:footnote w:type="continuationSeparator" w:id="0">
    <w:p w:rsidR="005E7A59" w:rsidRDefault="005E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C2379A">
    <w:pPr>
      <w:pStyle w:val="Kopfzeile"/>
    </w:pPr>
    <w:r>
      <w:rPr>
        <w:noProof/>
        <w:lang w:eastAsia="nl-NL" w:bidi="ar-SA"/>
      </w:rPr>
      <w:drawing>
        <wp:inline distT="0" distB="0" distL="0" distR="0">
          <wp:extent cx="5903595" cy="565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C51"/>
    <w:rsid w:val="000567B4"/>
    <w:rsid w:val="00056AD3"/>
    <w:rsid w:val="00082EB2"/>
    <w:rsid w:val="000A333A"/>
    <w:rsid w:val="000D3FFA"/>
    <w:rsid w:val="000D561A"/>
    <w:rsid w:val="000E582A"/>
    <w:rsid w:val="00114E67"/>
    <w:rsid w:val="00122EE6"/>
    <w:rsid w:val="00133F7A"/>
    <w:rsid w:val="001352D8"/>
    <w:rsid w:val="00196EC7"/>
    <w:rsid w:val="001A485C"/>
    <w:rsid w:val="001C16AF"/>
    <w:rsid w:val="001E7C2A"/>
    <w:rsid w:val="00227D48"/>
    <w:rsid w:val="0025619D"/>
    <w:rsid w:val="00276A82"/>
    <w:rsid w:val="00286DAF"/>
    <w:rsid w:val="002D14B7"/>
    <w:rsid w:val="00317CCA"/>
    <w:rsid w:val="003262D5"/>
    <w:rsid w:val="0033517C"/>
    <w:rsid w:val="00353314"/>
    <w:rsid w:val="00390C17"/>
    <w:rsid w:val="003A269D"/>
    <w:rsid w:val="003B025B"/>
    <w:rsid w:val="00407C1A"/>
    <w:rsid w:val="004168A6"/>
    <w:rsid w:val="00465171"/>
    <w:rsid w:val="0049792E"/>
    <w:rsid w:val="004B0793"/>
    <w:rsid w:val="004D5D87"/>
    <w:rsid w:val="004D6945"/>
    <w:rsid w:val="00501339"/>
    <w:rsid w:val="00527A37"/>
    <w:rsid w:val="00533116"/>
    <w:rsid w:val="00544847"/>
    <w:rsid w:val="005465CD"/>
    <w:rsid w:val="0054678E"/>
    <w:rsid w:val="0055710D"/>
    <w:rsid w:val="00585057"/>
    <w:rsid w:val="005D6C81"/>
    <w:rsid w:val="005E7A59"/>
    <w:rsid w:val="00632732"/>
    <w:rsid w:val="00647AA1"/>
    <w:rsid w:val="006D5BF5"/>
    <w:rsid w:val="00705B5E"/>
    <w:rsid w:val="00710F15"/>
    <w:rsid w:val="0073564C"/>
    <w:rsid w:val="008158BA"/>
    <w:rsid w:val="00863AB8"/>
    <w:rsid w:val="0087215E"/>
    <w:rsid w:val="00873F2C"/>
    <w:rsid w:val="00896583"/>
    <w:rsid w:val="008C590C"/>
    <w:rsid w:val="00923436"/>
    <w:rsid w:val="009C50CF"/>
    <w:rsid w:val="009E0A77"/>
    <w:rsid w:val="009E38DE"/>
    <w:rsid w:val="009F46D2"/>
    <w:rsid w:val="00A30768"/>
    <w:rsid w:val="00A50028"/>
    <w:rsid w:val="00AC27A2"/>
    <w:rsid w:val="00AC371D"/>
    <w:rsid w:val="00AC73CE"/>
    <w:rsid w:val="00AD6366"/>
    <w:rsid w:val="00AF0372"/>
    <w:rsid w:val="00AF1B87"/>
    <w:rsid w:val="00AF201C"/>
    <w:rsid w:val="00B23750"/>
    <w:rsid w:val="00B23F74"/>
    <w:rsid w:val="00B34513"/>
    <w:rsid w:val="00B519F1"/>
    <w:rsid w:val="00B547E2"/>
    <w:rsid w:val="00B71628"/>
    <w:rsid w:val="00B749EB"/>
    <w:rsid w:val="00B776BA"/>
    <w:rsid w:val="00B835E6"/>
    <w:rsid w:val="00BC422B"/>
    <w:rsid w:val="00C01E3D"/>
    <w:rsid w:val="00C2379A"/>
    <w:rsid w:val="00C735D8"/>
    <w:rsid w:val="00C764D7"/>
    <w:rsid w:val="00CB1758"/>
    <w:rsid w:val="00D179F9"/>
    <w:rsid w:val="00D62902"/>
    <w:rsid w:val="00DA28A9"/>
    <w:rsid w:val="00DB4857"/>
    <w:rsid w:val="00DB793D"/>
    <w:rsid w:val="00DE311A"/>
    <w:rsid w:val="00E81F2E"/>
    <w:rsid w:val="00EA6A67"/>
    <w:rsid w:val="00EB440A"/>
    <w:rsid w:val="00EB5899"/>
    <w:rsid w:val="00EC6A63"/>
    <w:rsid w:val="00F01381"/>
    <w:rsid w:val="00F221D4"/>
    <w:rsid w:val="00F32136"/>
    <w:rsid w:val="00F4147E"/>
    <w:rsid w:val="00F636C7"/>
    <w:rsid w:val="00F93CC8"/>
    <w:rsid w:val="00FB6C9E"/>
    <w:rsid w:val="00FC6A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B0CF1-BB6F-4A74-BC90-321E8BAA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en-GB"/>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rsid w:val="00C735D8"/>
    <w:pPr>
      <w:widowControl w:val="0"/>
      <w:wordWrap w:val="0"/>
      <w:autoSpaceDE w:val="0"/>
      <w:autoSpaceDN w:val="0"/>
      <w:spacing w:after="0" w:line="240" w:lineRule="auto"/>
      <w:jc w:val="both"/>
    </w:pPr>
    <w:rPr>
      <w:rFonts w:ascii="Times New Roman" w:eastAsia="Batang" w:hAnsi="Times New Roman" w:cs="Times New Roman"/>
      <w:sz w:val="20"/>
      <w:szCs w:val="20"/>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16AF"/>
    <w:rPr>
      <w:sz w:val="16"/>
      <w:szCs w:val="16"/>
    </w:rPr>
  </w:style>
  <w:style w:type="paragraph" w:styleId="Kommentartext">
    <w:name w:val="annotation text"/>
    <w:basedOn w:val="Standard"/>
    <w:link w:val="KommentartextZchn"/>
    <w:uiPriority w:val="99"/>
    <w:semiHidden/>
    <w:unhideWhenUsed/>
    <w:rsid w:val="001C16AF"/>
    <w:rPr>
      <w:szCs w:val="20"/>
    </w:rPr>
  </w:style>
  <w:style w:type="character" w:customStyle="1" w:styleId="KommentartextZchn">
    <w:name w:val="Kommentartext Zchn"/>
    <w:basedOn w:val="Absatz-Standardschriftart"/>
    <w:link w:val="Kommentartext"/>
    <w:uiPriority w:val="99"/>
    <w:semiHidden/>
    <w:rsid w:val="001C16AF"/>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1C16AF"/>
    <w:rPr>
      <w:b/>
      <w:bCs/>
    </w:rPr>
  </w:style>
  <w:style w:type="character" w:customStyle="1" w:styleId="KommentarthemaZchn">
    <w:name w:val="Kommentarthema Zchn"/>
    <w:basedOn w:val="KommentartextZchn"/>
    <w:link w:val="Kommentarthema"/>
    <w:uiPriority w:val="99"/>
    <w:semiHidden/>
    <w:rsid w:val="001C16AF"/>
    <w:rPr>
      <w:rFonts w:ascii="Batang" w:eastAsia="Batang"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944D-0ADA-42D1-BD9A-6F3AF2FB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dc:description>KERN AG, Global Language Services_x000d_
R11133756 - Übersetzung Englisch - Niederländisch</dc:description>
  <cp:lastModifiedBy>Andreas Lubitz</cp:lastModifiedBy>
  <cp:revision>3</cp:revision>
  <cp:lastPrinted>2018-02-08T16:23:00Z</cp:lastPrinted>
  <dcterms:created xsi:type="dcterms:W3CDTF">2018-02-14T08:30:00Z</dcterms:created>
  <dcterms:modified xsi:type="dcterms:W3CDTF">2018-02-14T09:04:00Z</dcterms:modified>
</cp:coreProperties>
</file>