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Pr="003C728A" w:rsidRDefault="005C2BC8" w:rsidP="00457514">
      <w:pPr>
        <w:tabs>
          <w:tab w:val="left" w:pos="142"/>
        </w:tabs>
        <w:rPr>
          <w:rFonts w:ascii="Helvetica" w:hAnsi="Helvetica" w:cs="Helvetica"/>
          <w:b/>
          <w:bCs/>
          <w:color w:val="FF6600"/>
          <w:sz w:val="32"/>
          <w:szCs w:val="32"/>
        </w:rPr>
      </w:pPr>
    </w:p>
    <w:p w:rsidR="00432965" w:rsidRPr="003C728A" w:rsidRDefault="00D760D0">
      <w:pPr>
        <w:tabs>
          <w:tab w:val="left" w:pos="142"/>
        </w:tabs>
        <w:jc w:val="center"/>
        <w:rPr>
          <w:rFonts w:ascii="Helvetica" w:hAnsi="Helvetica"/>
          <w:b/>
          <w:color w:val="FF6600"/>
          <w:sz w:val="32"/>
        </w:rPr>
      </w:pPr>
      <w:r w:rsidRPr="003C728A">
        <w:rPr>
          <w:rFonts w:ascii="Helvetica" w:hAnsi="Helvetica"/>
          <w:b/>
          <w:color w:val="FF6600"/>
          <w:sz w:val="32"/>
        </w:rPr>
        <w:t xml:space="preserve">Hankook Tire </w:t>
      </w:r>
      <w:r w:rsidR="00432965" w:rsidRPr="003C728A">
        <w:rPr>
          <w:rFonts w:ascii="Helvetica" w:hAnsi="Helvetica"/>
          <w:b/>
          <w:color w:val="FF6600"/>
          <w:sz w:val="32"/>
        </w:rPr>
        <w:t xml:space="preserve">julkisti </w:t>
      </w:r>
      <w:r w:rsidR="006A24ED" w:rsidRPr="00F45CAA">
        <w:rPr>
          <w:rFonts w:ascii="Helvetica" w:hAnsi="Helvetica"/>
          <w:b/>
          <w:color w:val="FF6600"/>
          <w:sz w:val="32"/>
        </w:rPr>
        <w:t>uusimman</w:t>
      </w:r>
      <w:r w:rsidR="00432965" w:rsidRPr="003C728A">
        <w:rPr>
          <w:rFonts w:ascii="Helvetica" w:hAnsi="Helvetica"/>
          <w:b/>
          <w:color w:val="FF6600"/>
          <w:sz w:val="32"/>
        </w:rPr>
        <w:t xml:space="preserve"> liiketoimintatuloksensa</w:t>
      </w:r>
    </w:p>
    <w:p w:rsidR="00C23E8F" w:rsidRPr="003C728A" w:rsidRDefault="00C23E8F">
      <w:pPr>
        <w:spacing w:line="360" w:lineRule="auto"/>
        <w:rPr>
          <w:b/>
          <w:sz w:val="22"/>
        </w:rPr>
      </w:pPr>
    </w:p>
    <w:p w:rsidR="00DB5DAD" w:rsidRPr="003C728A" w:rsidRDefault="00DB0D62">
      <w:pPr>
        <w:spacing w:line="360" w:lineRule="auto"/>
        <w:rPr>
          <w:b/>
          <w:sz w:val="22"/>
        </w:rPr>
      </w:pPr>
      <w:r>
        <w:rPr>
          <w:b/>
          <w:sz w:val="22"/>
        </w:rPr>
        <w:t xml:space="preserve">Hankook </w:t>
      </w:r>
      <w:r w:rsidRPr="00F45CAA">
        <w:rPr>
          <w:b/>
          <w:sz w:val="22"/>
        </w:rPr>
        <w:t xml:space="preserve">Tiren </w:t>
      </w:r>
      <w:r w:rsidR="00DB5DAD" w:rsidRPr="00F45CAA">
        <w:rPr>
          <w:b/>
          <w:sz w:val="22"/>
        </w:rPr>
        <w:t>vuoden 2017 toise</w:t>
      </w:r>
      <w:r w:rsidRPr="00F45CAA">
        <w:rPr>
          <w:b/>
          <w:sz w:val="22"/>
        </w:rPr>
        <w:t>n</w:t>
      </w:r>
      <w:r w:rsidR="00DB5DAD" w:rsidRPr="00F45CAA">
        <w:rPr>
          <w:b/>
          <w:sz w:val="22"/>
        </w:rPr>
        <w:t xml:space="preserve"> </w:t>
      </w:r>
      <w:r w:rsidR="00B44E37" w:rsidRPr="00F45CAA">
        <w:rPr>
          <w:b/>
          <w:sz w:val="22"/>
        </w:rPr>
        <w:t>neljänneks</w:t>
      </w:r>
      <w:r w:rsidRPr="00F45CAA">
        <w:rPr>
          <w:b/>
          <w:sz w:val="22"/>
        </w:rPr>
        <w:t>en</w:t>
      </w:r>
      <w:r w:rsidR="00B44E37" w:rsidRPr="00F45CAA">
        <w:rPr>
          <w:b/>
          <w:sz w:val="22"/>
        </w:rPr>
        <w:t xml:space="preserve"> maailmanlaajui</w:t>
      </w:r>
      <w:r w:rsidRPr="00F45CAA">
        <w:rPr>
          <w:b/>
          <w:sz w:val="22"/>
        </w:rPr>
        <w:t>nen</w:t>
      </w:r>
      <w:r w:rsidR="00DB5DAD" w:rsidRPr="00F45CAA">
        <w:rPr>
          <w:b/>
          <w:sz w:val="22"/>
        </w:rPr>
        <w:t xml:space="preserve"> liikevaih</w:t>
      </w:r>
      <w:r w:rsidRPr="00F45CAA">
        <w:rPr>
          <w:b/>
          <w:sz w:val="22"/>
        </w:rPr>
        <w:t>to oli</w:t>
      </w:r>
      <w:r w:rsidR="00DB5DAD" w:rsidRPr="00F45CAA">
        <w:rPr>
          <w:b/>
          <w:sz w:val="22"/>
        </w:rPr>
        <w:t xml:space="preserve"> 1667 miljardia KRW ja käyttökat</w:t>
      </w:r>
      <w:r w:rsidRPr="00F45CAA">
        <w:rPr>
          <w:b/>
          <w:sz w:val="22"/>
        </w:rPr>
        <w:t>e</w:t>
      </w:r>
      <w:r w:rsidR="00DB5DAD" w:rsidRPr="003C728A">
        <w:rPr>
          <w:b/>
          <w:sz w:val="22"/>
        </w:rPr>
        <w:t xml:space="preserve"> 203,7 miljardia KRW. Maailman</w:t>
      </w:r>
      <w:r w:rsidR="00C23E8F" w:rsidRPr="003C728A">
        <w:rPr>
          <w:b/>
          <w:sz w:val="22"/>
        </w:rPr>
        <w:t xml:space="preserve"> </w:t>
      </w:r>
      <w:r w:rsidR="00C23E8F" w:rsidRPr="00F45CAA">
        <w:rPr>
          <w:b/>
          <w:sz w:val="22"/>
        </w:rPr>
        <w:t>edistynei</w:t>
      </w:r>
      <w:r w:rsidR="005519B1" w:rsidRPr="00F45CAA">
        <w:rPr>
          <w:b/>
          <w:sz w:val="22"/>
        </w:rPr>
        <w:t>ntä</w:t>
      </w:r>
      <w:r w:rsidR="00DB5DAD" w:rsidRPr="00F45CAA">
        <w:rPr>
          <w:b/>
          <w:sz w:val="22"/>
        </w:rPr>
        <w:t xml:space="preserve"> teknologi</w:t>
      </w:r>
      <w:r w:rsidR="005519B1" w:rsidRPr="00F45CAA">
        <w:rPr>
          <w:b/>
          <w:sz w:val="22"/>
        </w:rPr>
        <w:t>a</w:t>
      </w:r>
      <w:r w:rsidR="00DB5DAD" w:rsidRPr="00F45CAA">
        <w:rPr>
          <w:b/>
          <w:sz w:val="22"/>
        </w:rPr>
        <w:t>a</w:t>
      </w:r>
      <w:r w:rsidR="00DB5DAD" w:rsidRPr="003C728A">
        <w:rPr>
          <w:b/>
          <w:sz w:val="22"/>
        </w:rPr>
        <w:t xml:space="preserve"> hyödyntävien huippusuorituskykyisten (UHP) renkaiden myynti kasvoi. UHP-renkaiden</w:t>
      </w:r>
      <w:r w:rsidR="002A2EE7" w:rsidRPr="003C728A">
        <w:rPr>
          <w:b/>
          <w:sz w:val="22"/>
        </w:rPr>
        <w:t xml:space="preserve"> myynti oli 36,9 % kokonaismyyn</w:t>
      </w:r>
      <w:r w:rsidR="003C728A" w:rsidRPr="003C728A">
        <w:rPr>
          <w:b/>
          <w:sz w:val="22"/>
        </w:rPr>
        <w:t xml:space="preserve">nistä, </w:t>
      </w:r>
      <w:r w:rsidR="003C728A" w:rsidRPr="00F45CAA">
        <w:rPr>
          <w:b/>
          <w:sz w:val="22"/>
        </w:rPr>
        <w:t>m</w:t>
      </w:r>
      <w:r w:rsidR="00B44E37" w:rsidRPr="00F45CAA">
        <w:rPr>
          <w:b/>
          <w:sz w:val="22"/>
        </w:rPr>
        <w:t>ikä tarkoittaa</w:t>
      </w:r>
      <w:r w:rsidR="003C728A" w:rsidRPr="00F45CAA">
        <w:rPr>
          <w:b/>
          <w:sz w:val="22"/>
        </w:rPr>
        <w:t xml:space="preserve"> 1,7 % kasvu</w:t>
      </w:r>
      <w:r w:rsidR="00B44E37" w:rsidRPr="00F45CAA">
        <w:rPr>
          <w:b/>
          <w:sz w:val="22"/>
        </w:rPr>
        <w:t>a</w:t>
      </w:r>
      <w:r w:rsidR="00DB5DAD" w:rsidRPr="003C728A">
        <w:rPr>
          <w:b/>
          <w:sz w:val="22"/>
        </w:rPr>
        <w:t xml:space="preserve"> edellisen vuoden vastaavaan ajanjaksoon verrattuna.</w:t>
      </w:r>
    </w:p>
    <w:p w:rsidR="00AC0781" w:rsidRPr="003C728A" w:rsidRDefault="00AC0781" w:rsidP="00F45CAA">
      <w:pPr>
        <w:suppressAutoHyphens w:val="0"/>
        <w:autoSpaceDE w:val="0"/>
        <w:autoSpaceDN w:val="0"/>
        <w:spacing w:line="360" w:lineRule="auto"/>
        <w:rPr>
          <w:rFonts w:eastAsia="Malgun Gothic"/>
          <w:color w:val="auto"/>
          <w:sz w:val="22"/>
          <w:szCs w:val="22"/>
          <w:lang w:eastAsia="ko-KR" w:bidi="ar-SA"/>
        </w:rPr>
      </w:pPr>
      <w:bookmarkStart w:id="0" w:name="_Hlk480186909"/>
    </w:p>
    <w:p w:rsidR="003749DD" w:rsidRPr="003C728A" w:rsidRDefault="00DB5DAD" w:rsidP="00AC0781">
      <w:pPr>
        <w:suppressAutoHyphens w:val="0"/>
        <w:autoSpaceDE w:val="0"/>
        <w:autoSpaceDN w:val="0"/>
        <w:spacing w:line="360" w:lineRule="auto"/>
        <w:rPr>
          <w:rFonts w:eastAsia="Malgun Gothic"/>
          <w:color w:val="auto"/>
          <w:sz w:val="21"/>
          <w:szCs w:val="21"/>
          <w:lang w:eastAsia="ko-KR" w:bidi="ar-SA"/>
        </w:rPr>
      </w:pPr>
      <w:r w:rsidRPr="003C728A">
        <w:rPr>
          <w:rFonts w:eastAsia="Malgun Gothic"/>
          <w:b/>
          <w:i/>
          <w:color w:val="auto"/>
          <w:sz w:val="21"/>
          <w:szCs w:val="21"/>
          <w:lang w:eastAsia="ko-KR" w:bidi="ar-SA"/>
        </w:rPr>
        <w:t>S</w:t>
      </w:r>
      <w:r w:rsidR="00D760D0" w:rsidRPr="003C728A">
        <w:rPr>
          <w:rFonts w:eastAsia="Malgun Gothic"/>
          <w:b/>
          <w:i/>
          <w:color w:val="auto"/>
          <w:sz w:val="21"/>
          <w:szCs w:val="21"/>
          <w:lang w:eastAsia="ko-KR" w:bidi="ar-SA"/>
        </w:rPr>
        <w:t xml:space="preserve">oul, Korea / Neu-Isenburg, </w:t>
      </w:r>
      <w:r w:rsidRPr="003C728A">
        <w:rPr>
          <w:rFonts w:eastAsia="Malgun Gothic"/>
          <w:b/>
          <w:i/>
          <w:color w:val="auto"/>
          <w:sz w:val="21"/>
          <w:szCs w:val="21"/>
          <w:lang w:eastAsia="ko-KR" w:bidi="ar-SA"/>
        </w:rPr>
        <w:t>Saksa</w:t>
      </w:r>
      <w:r w:rsidR="00D760D0" w:rsidRPr="003C728A">
        <w:rPr>
          <w:rFonts w:eastAsia="Malgun Gothic"/>
          <w:b/>
          <w:i/>
          <w:color w:val="auto"/>
          <w:sz w:val="21"/>
          <w:szCs w:val="21"/>
          <w:lang w:eastAsia="ko-KR" w:bidi="ar-SA"/>
        </w:rPr>
        <w:t xml:space="preserve">, </w:t>
      </w:r>
      <w:r w:rsidR="00A045AA">
        <w:rPr>
          <w:rFonts w:eastAsia="Malgun Gothic"/>
          <w:b/>
          <w:i/>
          <w:color w:val="auto"/>
          <w:sz w:val="21"/>
          <w:szCs w:val="21"/>
          <w:lang w:eastAsia="ko-KR" w:bidi="ar-SA"/>
        </w:rPr>
        <w:t>14</w:t>
      </w:r>
      <w:bookmarkStart w:id="1" w:name="_GoBack"/>
      <w:bookmarkEnd w:id="1"/>
      <w:r w:rsidRPr="003C728A">
        <w:rPr>
          <w:rFonts w:eastAsia="Malgun Gothic"/>
          <w:b/>
          <w:i/>
          <w:color w:val="auto"/>
          <w:sz w:val="21"/>
          <w:szCs w:val="21"/>
          <w:lang w:eastAsia="ko-KR" w:bidi="ar-SA"/>
        </w:rPr>
        <w:t>. elokuuta</w:t>
      </w:r>
      <w:r w:rsidR="00D760D0" w:rsidRPr="003C728A">
        <w:rPr>
          <w:rFonts w:eastAsia="Malgun Gothic"/>
          <w:b/>
          <w:i/>
          <w:color w:val="auto"/>
          <w:sz w:val="21"/>
          <w:szCs w:val="21"/>
          <w:lang w:eastAsia="ko-KR" w:bidi="ar-SA"/>
        </w:rPr>
        <w:t xml:space="preserve"> 2017</w:t>
      </w:r>
      <w:r w:rsidR="00D760D0" w:rsidRPr="003C728A">
        <w:rPr>
          <w:rFonts w:eastAsia="Malgun Gothic"/>
          <w:color w:val="auto"/>
          <w:sz w:val="21"/>
          <w:szCs w:val="21"/>
          <w:lang w:eastAsia="ko-KR" w:bidi="ar-SA"/>
        </w:rPr>
        <w:t xml:space="preserve"> – Premium</w:t>
      </w:r>
      <w:r w:rsidR="003749DD" w:rsidRPr="003C728A">
        <w:rPr>
          <w:rFonts w:eastAsia="Malgun Gothic"/>
          <w:color w:val="auto"/>
          <w:sz w:val="21"/>
          <w:szCs w:val="21"/>
          <w:lang w:eastAsia="ko-KR" w:bidi="ar-SA"/>
        </w:rPr>
        <w:t>-rengasvalmistaja ilmoitti vuoden 2017 toisen neljänneksen liiketoi</w:t>
      </w:r>
      <w:r w:rsidR="00C23E8F" w:rsidRPr="003C728A">
        <w:rPr>
          <w:rFonts w:eastAsia="Malgun Gothic"/>
          <w:color w:val="auto"/>
          <w:sz w:val="21"/>
          <w:szCs w:val="21"/>
          <w:lang w:eastAsia="ko-KR" w:bidi="ar-SA"/>
        </w:rPr>
        <w:t>mi</w:t>
      </w:r>
      <w:r w:rsidR="003749DD" w:rsidRPr="003C728A">
        <w:rPr>
          <w:rFonts w:eastAsia="Malgun Gothic"/>
          <w:color w:val="auto"/>
          <w:sz w:val="21"/>
          <w:szCs w:val="21"/>
          <w:lang w:eastAsia="ko-KR" w:bidi="ar-SA"/>
        </w:rPr>
        <w:t>ntatuloksensa.</w:t>
      </w:r>
      <w:r w:rsidR="00C23E8F" w:rsidRPr="003C728A">
        <w:rPr>
          <w:rFonts w:eastAsia="Malgun Gothic"/>
          <w:color w:val="auto"/>
          <w:sz w:val="21"/>
          <w:szCs w:val="21"/>
          <w:lang w:eastAsia="ko-KR" w:bidi="ar-SA"/>
        </w:rPr>
        <w:t xml:space="preserve"> Maailmanlaajuinen liikevaihto o</w:t>
      </w:r>
      <w:r w:rsidR="003749DD" w:rsidRPr="003C728A">
        <w:rPr>
          <w:rFonts w:eastAsia="Malgun Gothic"/>
          <w:color w:val="auto"/>
          <w:sz w:val="21"/>
          <w:szCs w:val="21"/>
          <w:lang w:eastAsia="ko-KR" w:bidi="ar-SA"/>
        </w:rPr>
        <w:t xml:space="preserve">li 1667 miljardia KRW (1,341 miljardia euroa) ja </w:t>
      </w:r>
      <w:r w:rsidR="003749DD" w:rsidRPr="00F45CAA">
        <w:rPr>
          <w:rFonts w:eastAsia="Malgun Gothic"/>
          <w:color w:val="auto"/>
          <w:sz w:val="21"/>
          <w:szCs w:val="21"/>
          <w:lang w:eastAsia="ko-KR" w:bidi="ar-SA"/>
        </w:rPr>
        <w:t>käyttökate</w:t>
      </w:r>
      <w:r w:rsidR="003749DD" w:rsidRPr="003C728A">
        <w:rPr>
          <w:rFonts w:eastAsia="Malgun Gothic"/>
          <w:color w:val="auto"/>
          <w:sz w:val="21"/>
          <w:szCs w:val="21"/>
          <w:lang w:eastAsia="ko-KR" w:bidi="ar-SA"/>
        </w:rPr>
        <w:t xml:space="preserve"> 203,7 miljardia KRW (163,9 miljoonaa euroa).</w:t>
      </w:r>
    </w:p>
    <w:p w:rsidR="00AC0781" w:rsidRPr="003C728A" w:rsidRDefault="00AC0781" w:rsidP="00AC0781">
      <w:pPr>
        <w:suppressAutoHyphens w:val="0"/>
        <w:autoSpaceDE w:val="0"/>
        <w:autoSpaceDN w:val="0"/>
        <w:spacing w:line="360" w:lineRule="auto"/>
        <w:rPr>
          <w:rFonts w:eastAsia="Malgun Gothic"/>
          <w:color w:val="auto"/>
          <w:sz w:val="21"/>
          <w:szCs w:val="21"/>
          <w:lang w:eastAsia="ko-KR" w:bidi="ar-SA"/>
        </w:rPr>
      </w:pPr>
    </w:p>
    <w:p w:rsidR="000F1339" w:rsidRPr="003C728A" w:rsidRDefault="00D760D0" w:rsidP="00AC0781">
      <w:pPr>
        <w:suppressAutoHyphens w:val="0"/>
        <w:autoSpaceDE w:val="0"/>
        <w:autoSpaceDN w:val="0"/>
        <w:spacing w:line="360" w:lineRule="auto"/>
        <w:rPr>
          <w:rFonts w:eastAsia="Malgun Gothic"/>
          <w:color w:val="auto"/>
          <w:sz w:val="21"/>
          <w:szCs w:val="21"/>
          <w:lang w:eastAsia="ko-KR" w:bidi="ar-SA"/>
        </w:rPr>
      </w:pPr>
      <w:r w:rsidRPr="003C728A">
        <w:rPr>
          <w:rFonts w:eastAsia="Malgun Gothic"/>
          <w:color w:val="auto"/>
          <w:sz w:val="21"/>
          <w:szCs w:val="21"/>
          <w:lang w:eastAsia="ko-KR" w:bidi="ar-SA"/>
        </w:rPr>
        <w:t>Hankook Tire</w:t>
      </w:r>
      <w:r w:rsidR="000F1339" w:rsidRPr="003C728A">
        <w:rPr>
          <w:rFonts w:eastAsia="Malgun Gothic"/>
          <w:color w:val="auto"/>
          <w:sz w:val="21"/>
          <w:szCs w:val="21"/>
          <w:lang w:eastAsia="ko-KR" w:bidi="ar-SA"/>
        </w:rPr>
        <w:t xml:space="preserve">n </w:t>
      </w:r>
      <w:r w:rsidR="000F1339" w:rsidRPr="00F45CAA">
        <w:rPr>
          <w:rFonts w:eastAsia="Malgun Gothic"/>
          <w:color w:val="auto"/>
          <w:sz w:val="21"/>
          <w:szCs w:val="21"/>
          <w:lang w:eastAsia="ko-KR" w:bidi="ar-SA"/>
        </w:rPr>
        <w:t>myynti</w:t>
      </w:r>
      <w:r w:rsidR="000F1339" w:rsidRPr="003C728A">
        <w:rPr>
          <w:rFonts w:eastAsia="Malgun Gothic"/>
          <w:color w:val="auto"/>
          <w:sz w:val="21"/>
          <w:szCs w:val="21"/>
          <w:lang w:eastAsia="ko-KR" w:bidi="ar-SA"/>
        </w:rPr>
        <w:t xml:space="preserve"> </w:t>
      </w:r>
      <w:r w:rsidR="00C23E8F" w:rsidRPr="003C728A">
        <w:rPr>
          <w:rFonts w:eastAsia="Malgun Gothic"/>
          <w:color w:val="auto"/>
          <w:sz w:val="21"/>
          <w:szCs w:val="21"/>
          <w:lang w:eastAsia="ko-KR" w:bidi="ar-SA"/>
        </w:rPr>
        <w:t>kasvoi 1,7 prosenttia edeltävään</w:t>
      </w:r>
      <w:r w:rsidR="000F1339" w:rsidRPr="003C728A">
        <w:rPr>
          <w:rFonts w:eastAsia="Malgun Gothic"/>
          <w:color w:val="auto"/>
          <w:sz w:val="21"/>
          <w:szCs w:val="21"/>
          <w:lang w:eastAsia="ko-KR" w:bidi="ar-SA"/>
        </w:rPr>
        <w:t xml:space="preserve"> neljännekseen verrattuna, kun taas käytt</w:t>
      </w:r>
      <w:r w:rsidR="00C23E8F" w:rsidRPr="003C728A">
        <w:rPr>
          <w:rFonts w:eastAsia="Malgun Gothic"/>
          <w:color w:val="auto"/>
          <w:sz w:val="21"/>
          <w:szCs w:val="21"/>
          <w:lang w:eastAsia="ko-KR" w:bidi="ar-SA"/>
        </w:rPr>
        <w:t>ökate pieneni 12,3 prosenttia. E</w:t>
      </w:r>
      <w:r w:rsidR="000F1339" w:rsidRPr="003C728A">
        <w:rPr>
          <w:rFonts w:eastAsia="Malgun Gothic"/>
          <w:color w:val="auto"/>
          <w:sz w:val="21"/>
          <w:szCs w:val="21"/>
          <w:lang w:eastAsia="ko-KR" w:bidi="ar-SA"/>
        </w:rPr>
        <w:t>dellisen vuoden vastaavaan ajanjaksoon verrattuna kokonaismyynti ja käyttökate vähenivät 3,5 prosenttia ja 34,4 prosenttia. Käyttökatteen pieneneminen johtui pääasiassa ra</w:t>
      </w:r>
      <w:r w:rsidR="001F2137" w:rsidRPr="003C728A">
        <w:rPr>
          <w:rFonts w:eastAsia="Malgun Gothic"/>
          <w:color w:val="auto"/>
          <w:sz w:val="21"/>
          <w:szCs w:val="21"/>
          <w:lang w:eastAsia="ko-KR" w:bidi="ar-SA"/>
        </w:rPr>
        <w:t>a</w:t>
      </w:r>
      <w:r w:rsidR="000F1339" w:rsidRPr="003C728A">
        <w:rPr>
          <w:rFonts w:eastAsia="Malgun Gothic"/>
          <w:color w:val="auto"/>
          <w:sz w:val="21"/>
          <w:szCs w:val="21"/>
          <w:lang w:eastAsia="ko-KR" w:bidi="ar-SA"/>
        </w:rPr>
        <w:t>ka-aineiden hintojen noususta.</w:t>
      </w:r>
    </w:p>
    <w:p w:rsidR="00AC0781" w:rsidRPr="003C728A" w:rsidRDefault="00AC0781" w:rsidP="00AC0781">
      <w:pPr>
        <w:suppressAutoHyphens w:val="0"/>
        <w:autoSpaceDE w:val="0"/>
        <w:autoSpaceDN w:val="0"/>
        <w:spacing w:line="360" w:lineRule="auto"/>
        <w:rPr>
          <w:rFonts w:eastAsia="Malgun Gothic"/>
          <w:color w:val="auto"/>
          <w:sz w:val="21"/>
          <w:szCs w:val="21"/>
          <w:lang w:eastAsia="ko-KR" w:bidi="ar-SA"/>
        </w:rPr>
      </w:pPr>
    </w:p>
    <w:p w:rsidR="009125BE" w:rsidRPr="005519B1" w:rsidRDefault="00C23E8F" w:rsidP="00AC0781">
      <w:pPr>
        <w:suppressAutoHyphens w:val="0"/>
        <w:autoSpaceDE w:val="0"/>
        <w:autoSpaceDN w:val="0"/>
        <w:spacing w:line="360" w:lineRule="auto"/>
        <w:rPr>
          <w:rFonts w:eastAsia="Malgun Gothic"/>
          <w:color w:val="auto"/>
          <w:sz w:val="21"/>
          <w:szCs w:val="21"/>
          <w:lang w:eastAsia="ko-KR" w:bidi="ar-SA"/>
        </w:rPr>
      </w:pPr>
      <w:r w:rsidRPr="003C728A">
        <w:rPr>
          <w:rFonts w:eastAsia="Malgun Gothic"/>
          <w:color w:val="auto"/>
          <w:sz w:val="21"/>
          <w:szCs w:val="21"/>
          <w:lang w:eastAsia="ko-KR" w:bidi="ar-SA"/>
        </w:rPr>
        <w:t>E</w:t>
      </w:r>
      <w:r w:rsidR="000F1339" w:rsidRPr="003C728A">
        <w:rPr>
          <w:rFonts w:eastAsia="Malgun Gothic"/>
          <w:color w:val="auto"/>
          <w:sz w:val="21"/>
          <w:szCs w:val="21"/>
          <w:lang w:eastAsia="ko-KR" w:bidi="ar-SA"/>
        </w:rPr>
        <w:t>deltävään ne</w:t>
      </w:r>
      <w:r w:rsidR="002A2EE7" w:rsidRPr="003C728A">
        <w:rPr>
          <w:rFonts w:eastAsia="Malgun Gothic"/>
          <w:color w:val="auto"/>
          <w:sz w:val="21"/>
          <w:szCs w:val="21"/>
          <w:lang w:eastAsia="ko-KR" w:bidi="ar-SA"/>
        </w:rPr>
        <w:t>ljän</w:t>
      </w:r>
      <w:r w:rsidR="000F1339" w:rsidRPr="003C728A">
        <w:rPr>
          <w:rFonts w:eastAsia="Malgun Gothic"/>
          <w:color w:val="auto"/>
          <w:sz w:val="21"/>
          <w:szCs w:val="21"/>
          <w:lang w:eastAsia="ko-KR" w:bidi="ar-SA"/>
        </w:rPr>
        <w:t xml:space="preserve">nekseen verrattuna </w:t>
      </w:r>
      <w:r w:rsidRPr="003C728A">
        <w:rPr>
          <w:rFonts w:eastAsia="Malgun Gothic"/>
          <w:color w:val="auto"/>
          <w:sz w:val="21"/>
          <w:szCs w:val="21"/>
          <w:lang w:eastAsia="ko-KR" w:bidi="ar-SA"/>
        </w:rPr>
        <w:t>Hankookin liikevaihto</w:t>
      </w:r>
      <w:r w:rsidR="00294272" w:rsidRPr="003C728A">
        <w:rPr>
          <w:rFonts w:eastAsia="Malgun Gothic"/>
          <w:color w:val="auto"/>
          <w:sz w:val="21"/>
          <w:szCs w:val="21"/>
          <w:lang w:eastAsia="ko-KR" w:bidi="ar-SA"/>
        </w:rPr>
        <w:t xml:space="preserve"> kuitenkin kasvoi markkinoiden kasvua nopeammin.</w:t>
      </w:r>
      <w:r w:rsidR="001F2137" w:rsidRPr="003C728A">
        <w:rPr>
          <w:rFonts w:eastAsia="Malgun Gothic"/>
          <w:color w:val="auto"/>
          <w:sz w:val="21"/>
          <w:szCs w:val="21"/>
          <w:lang w:eastAsia="ko-KR" w:bidi="ar-SA"/>
        </w:rPr>
        <w:t xml:space="preserve"> </w:t>
      </w:r>
      <w:r w:rsidR="00CF60E8" w:rsidRPr="003C728A">
        <w:rPr>
          <w:rFonts w:eastAsia="Malgun Gothic"/>
          <w:color w:val="auto"/>
          <w:sz w:val="21"/>
          <w:szCs w:val="21"/>
          <w:lang w:eastAsia="ko-KR" w:bidi="ar-SA"/>
        </w:rPr>
        <w:t>Myös h</w:t>
      </w:r>
      <w:r w:rsidR="001F2137" w:rsidRPr="003C728A">
        <w:rPr>
          <w:rFonts w:eastAsia="Malgun Gothic"/>
          <w:color w:val="auto"/>
          <w:sz w:val="21"/>
          <w:szCs w:val="21"/>
          <w:lang w:eastAsia="ko-KR" w:bidi="ar-SA"/>
        </w:rPr>
        <w:t>uippusuorituskykyisten (UHP) renkaiden segmentillä myynti on jatkuvasti kas</w:t>
      </w:r>
      <w:r w:rsidR="00A7648A" w:rsidRPr="003C728A">
        <w:rPr>
          <w:rFonts w:eastAsia="Malgun Gothic"/>
          <w:color w:val="auto"/>
          <w:sz w:val="21"/>
          <w:szCs w:val="21"/>
          <w:lang w:eastAsia="ko-KR" w:bidi="ar-SA"/>
        </w:rPr>
        <w:t>vanut. UHP-renkaiden myyntisuhde</w:t>
      </w:r>
      <w:r w:rsidR="001F2137" w:rsidRPr="003C728A">
        <w:rPr>
          <w:rFonts w:eastAsia="Malgun Gothic"/>
          <w:color w:val="auto"/>
          <w:sz w:val="21"/>
          <w:szCs w:val="21"/>
          <w:lang w:eastAsia="ko-KR" w:bidi="ar-SA"/>
        </w:rPr>
        <w:t xml:space="preserve"> kasvoi 1,7 prosenttia</w:t>
      </w:r>
      <w:r w:rsidR="001B0CBE" w:rsidRPr="003C728A">
        <w:rPr>
          <w:rFonts w:eastAsia="Malgun Gothic"/>
          <w:color w:val="auto"/>
          <w:sz w:val="21"/>
          <w:szCs w:val="21"/>
          <w:lang w:eastAsia="ko-KR" w:bidi="ar-SA"/>
        </w:rPr>
        <w:t>, ja niiden myynti oli</w:t>
      </w:r>
      <w:r w:rsidR="009125BE" w:rsidRPr="003C728A">
        <w:rPr>
          <w:rFonts w:eastAsia="Malgun Gothic"/>
          <w:color w:val="auto"/>
          <w:sz w:val="21"/>
          <w:szCs w:val="21"/>
          <w:lang w:eastAsia="ko-KR" w:bidi="ar-SA"/>
        </w:rPr>
        <w:t xml:space="preserve"> 36,9 prosenttia </w:t>
      </w:r>
      <w:r w:rsidR="001B0CBE" w:rsidRPr="003C728A">
        <w:rPr>
          <w:rFonts w:eastAsia="Malgun Gothic"/>
          <w:color w:val="auto"/>
          <w:sz w:val="21"/>
          <w:szCs w:val="21"/>
          <w:lang w:eastAsia="ko-KR" w:bidi="ar-SA"/>
        </w:rPr>
        <w:t>toisen neljänneksen kokonaisliikevaihdosta</w:t>
      </w:r>
      <w:r w:rsidR="009125BE" w:rsidRPr="003C728A">
        <w:rPr>
          <w:rFonts w:eastAsia="Malgun Gothic"/>
          <w:color w:val="auto"/>
          <w:sz w:val="21"/>
          <w:szCs w:val="21"/>
          <w:lang w:eastAsia="ko-KR" w:bidi="ar-SA"/>
        </w:rPr>
        <w:t>. Hankook Tire suunnittelee laajentavansa UHP-renkaiden segmenttiä ja valmistautuu vastaamaan joustavas</w:t>
      </w:r>
      <w:r w:rsidR="003C728A" w:rsidRPr="003C728A">
        <w:rPr>
          <w:rFonts w:eastAsia="Malgun Gothic"/>
          <w:color w:val="auto"/>
          <w:sz w:val="21"/>
          <w:szCs w:val="21"/>
          <w:lang w:eastAsia="ko-KR" w:bidi="ar-SA"/>
        </w:rPr>
        <w:t>ti autoteollisuusalan muutoshaasteisiin</w:t>
      </w:r>
      <w:r w:rsidR="009125BE" w:rsidRPr="003C728A">
        <w:rPr>
          <w:rFonts w:eastAsia="Malgun Gothic"/>
          <w:color w:val="auto"/>
          <w:sz w:val="21"/>
          <w:szCs w:val="21"/>
          <w:lang w:eastAsia="ko-KR" w:bidi="ar-SA"/>
        </w:rPr>
        <w:t>.</w:t>
      </w:r>
    </w:p>
    <w:p w:rsidR="00F45CAA" w:rsidRDefault="00F45CAA" w:rsidP="0069627C">
      <w:pPr>
        <w:suppressAutoHyphens w:val="0"/>
        <w:autoSpaceDE w:val="0"/>
        <w:autoSpaceDN w:val="0"/>
        <w:snapToGrid w:val="0"/>
        <w:spacing w:line="276" w:lineRule="auto"/>
        <w:jc w:val="center"/>
        <w:rPr>
          <w:rFonts w:ascii="Arial" w:eastAsia="Malgun Gothic" w:hAnsi="Arial" w:cs="Arial"/>
          <w:color w:val="auto"/>
          <w:kern w:val="2"/>
          <w:sz w:val="22"/>
          <w:szCs w:val="22"/>
          <w:lang w:eastAsia="ko-KR" w:bidi="ar-SA"/>
        </w:rPr>
      </w:pPr>
    </w:p>
    <w:p w:rsidR="0069627C" w:rsidRPr="003C728A" w:rsidRDefault="0069627C" w:rsidP="0069627C">
      <w:pPr>
        <w:suppressAutoHyphens w:val="0"/>
        <w:autoSpaceDE w:val="0"/>
        <w:autoSpaceDN w:val="0"/>
        <w:snapToGrid w:val="0"/>
        <w:spacing w:line="276" w:lineRule="auto"/>
        <w:jc w:val="center"/>
        <w:rPr>
          <w:rFonts w:ascii="Arial" w:eastAsia="Malgun Gothic" w:hAnsi="Arial" w:cs="Arial"/>
          <w:color w:val="auto"/>
          <w:kern w:val="2"/>
          <w:sz w:val="22"/>
          <w:szCs w:val="22"/>
          <w:lang w:eastAsia="ko-KR" w:bidi="ar-SA"/>
        </w:rPr>
      </w:pPr>
      <w:r w:rsidRPr="003C728A">
        <w:rPr>
          <w:rFonts w:ascii="Arial" w:eastAsia="Malgun Gothic" w:hAnsi="Arial" w:cs="Arial"/>
          <w:color w:val="auto"/>
          <w:kern w:val="2"/>
          <w:sz w:val="22"/>
          <w:szCs w:val="22"/>
          <w:lang w:eastAsia="ko-KR" w:bidi="ar-SA"/>
        </w:rPr>
        <w:t># # #</w:t>
      </w:r>
    </w:p>
    <w:p w:rsidR="00AC0781" w:rsidRPr="003C728A" w:rsidRDefault="00AC0781" w:rsidP="00AC0781">
      <w:pPr>
        <w:suppressAutoHyphens w:val="0"/>
        <w:autoSpaceDE w:val="0"/>
        <w:autoSpaceDN w:val="0"/>
        <w:spacing w:line="276" w:lineRule="auto"/>
        <w:rPr>
          <w:rFonts w:ascii="Arial" w:eastAsia="Batang" w:hAnsi="Arial" w:cs="Arial"/>
          <w:b/>
          <w:color w:val="000000"/>
          <w:kern w:val="2"/>
          <w:sz w:val="22"/>
          <w:szCs w:val="22"/>
          <w:lang w:eastAsia="ko-KR" w:bidi="ar-SA"/>
        </w:rPr>
      </w:pPr>
    </w:p>
    <w:p w:rsidR="00AC0781" w:rsidRPr="003C728A" w:rsidRDefault="00AC0781" w:rsidP="00787814">
      <w:pPr>
        <w:suppressAutoHyphens w:val="0"/>
        <w:autoSpaceDE w:val="0"/>
        <w:autoSpaceDN w:val="0"/>
        <w:spacing w:line="276" w:lineRule="auto"/>
        <w:ind w:firstLineChars="50" w:firstLine="108"/>
        <w:rPr>
          <w:rFonts w:ascii="Arial" w:eastAsia="Batang" w:hAnsi="Arial" w:cs="Arial"/>
          <w:b/>
          <w:color w:val="000000"/>
          <w:kern w:val="2"/>
          <w:sz w:val="22"/>
          <w:szCs w:val="22"/>
          <w:lang w:eastAsia="ko-KR" w:bidi="ar-SA"/>
        </w:rPr>
      </w:pPr>
      <w:r w:rsidRPr="003C728A">
        <w:rPr>
          <w:rFonts w:ascii="Arial" w:eastAsia="Batang" w:hAnsi="Arial" w:cs="Arial"/>
          <w:b/>
          <w:color w:val="000000"/>
          <w:kern w:val="2"/>
          <w:sz w:val="22"/>
          <w:szCs w:val="22"/>
          <w:lang w:eastAsia="ko-KR" w:bidi="ar-SA"/>
        </w:rPr>
        <w:t>Q2 2017 Consolidated Financial Result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AC0781" w:rsidRPr="003C728A" w:rsidTr="00AC0781">
        <w:trPr>
          <w:trHeight w:val="312"/>
        </w:trPr>
        <w:tc>
          <w:tcPr>
            <w:tcW w:w="2383" w:type="dxa"/>
            <w:shd w:val="clear" w:color="auto" w:fill="7F7F7F"/>
            <w:noWrap/>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eastAsia="ko-KR" w:bidi="ar-SA"/>
              </w:rPr>
            </w:pPr>
            <w:r w:rsidRPr="003C728A">
              <w:rPr>
                <w:rFonts w:ascii="Arial" w:eastAsia="Batang" w:hAnsi="Arial" w:cs="Arial"/>
                <w:b/>
                <w:color w:val="FFFFFF"/>
                <w:kern w:val="2"/>
                <w:lang w:eastAsia="ko-KR" w:bidi="ar-SA"/>
              </w:rPr>
              <w:t>(Unit: Billion KRW)</w:t>
            </w:r>
          </w:p>
        </w:tc>
        <w:tc>
          <w:tcPr>
            <w:tcW w:w="2384" w:type="dxa"/>
            <w:shd w:val="clear" w:color="auto" w:fill="7F7F7F"/>
            <w:noWrap/>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eastAsia="ko-KR" w:bidi="ar-SA"/>
              </w:rPr>
            </w:pPr>
            <w:r w:rsidRPr="003C728A">
              <w:rPr>
                <w:rFonts w:ascii="Arial" w:eastAsia="Malgun Gothic" w:hAnsi="Arial" w:cs="Arial"/>
                <w:b/>
                <w:bCs/>
                <w:color w:val="FFFFFF"/>
                <w:kern w:val="2"/>
                <w:lang w:eastAsia="ko-KR" w:bidi="ar-SA"/>
              </w:rPr>
              <w:t>Q2 FY 2016</w:t>
            </w:r>
          </w:p>
        </w:tc>
        <w:tc>
          <w:tcPr>
            <w:tcW w:w="2384" w:type="dxa"/>
            <w:shd w:val="clear" w:color="auto" w:fill="7F7F7F"/>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eastAsia="ko-KR" w:bidi="ar-SA"/>
              </w:rPr>
            </w:pPr>
            <w:r w:rsidRPr="003C728A">
              <w:rPr>
                <w:rFonts w:ascii="Arial" w:eastAsia="Malgun Gothic" w:hAnsi="Arial" w:cs="Arial"/>
                <w:b/>
                <w:bCs/>
                <w:color w:val="FFFFFF"/>
                <w:kern w:val="2"/>
                <w:lang w:eastAsia="ko-KR" w:bidi="ar-SA"/>
              </w:rPr>
              <w:t>Q1 FY 2017</w:t>
            </w:r>
          </w:p>
        </w:tc>
        <w:tc>
          <w:tcPr>
            <w:tcW w:w="2384" w:type="dxa"/>
            <w:shd w:val="clear" w:color="auto" w:fill="7F7F7F"/>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eastAsia="ko-KR" w:bidi="ar-SA"/>
              </w:rPr>
            </w:pPr>
            <w:r w:rsidRPr="003C728A">
              <w:rPr>
                <w:rFonts w:ascii="Arial" w:eastAsia="Malgun Gothic" w:hAnsi="Arial" w:cs="Arial"/>
                <w:b/>
                <w:bCs/>
                <w:color w:val="FFFFFF"/>
                <w:kern w:val="2"/>
                <w:lang w:eastAsia="ko-KR" w:bidi="ar-SA"/>
              </w:rPr>
              <w:t>Q2 FY 2017</w:t>
            </w:r>
          </w:p>
        </w:tc>
      </w:tr>
      <w:tr w:rsidR="00AC0781" w:rsidRPr="003C728A"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eastAsia="ko-KR" w:bidi="ar-SA"/>
              </w:rPr>
            </w:pPr>
            <w:r w:rsidRPr="003C728A">
              <w:rPr>
                <w:rFonts w:ascii="Arial" w:eastAsia="Malgun Gothic" w:hAnsi="Arial" w:cs="Arial"/>
                <w:bCs/>
                <w:color w:val="auto"/>
                <w:kern w:val="2"/>
                <w:lang w:eastAsia="ko-KR" w:bidi="ar-SA"/>
              </w:rPr>
              <w:t>Sales</w:t>
            </w:r>
          </w:p>
        </w:tc>
        <w:tc>
          <w:tcPr>
            <w:tcW w:w="2384" w:type="dxa"/>
            <w:noWrap/>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color w:val="auto"/>
                <w:kern w:val="2"/>
                <w:lang w:eastAsia="ko-KR" w:bidi="ar-SA"/>
              </w:rPr>
            </w:pPr>
            <w:r w:rsidRPr="003C728A">
              <w:rPr>
                <w:rFonts w:ascii="Arial" w:eastAsia="Malgun Gothic" w:hAnsi="Arial" w:cs="Arial"/>
                <w:color w:val="auto"/>
                <w:kern w:val="2"/>
                <w:lang w:eastAsia="ko-KR" w:bidi="ar-SA"/>
              </w:rPr>
              <w:t>1,727.4</w:t>
            </w:r>
          </w:p>
        </w:tc>
        <w:tc>
          <w:tcPr>
            <w:tcW w:w="2384" w:type="dxa"/>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color w:val="auto"/>
                <w:kern w:val="2"/>
                <w:lang w:eastAsia="ko-KR" w:bidi="ar-SA"/>
              </w:rPr>
            </w:pPr>
            <w:r w:rsidRPr="003C728A">
              <w:rPr>
                <w:rFonts w:ascii="Arial" w:eastAsia="Malgun Gothic" w:hAnsi="Arial" w:cs="Arial"/>
                <w:color w:val="auto"/>
                <w:kern w:val="2"/>
                <w:lang w:eastAsia="ko-KR" w:bidi="ar-SA"/>
              </w:rPr>
              <w:t>1,639.2</w:t>
            </w:r>
          </w:p>
        </w:tc>
        <w:tc>
          <w:tcPr>
            <w:tcW w:w="2384" w:type="dxa"/>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eastAsia="ko-KR" w:bidi="ar-SA"/>
              </w:rPr>
            </w:pPr>
            <w:r w:rsidRPr="003C728A">
              <w:rPr>
                <w:rFonts w:ascii="Arial" w:eastAsia="Malgun Gothic" w:hAnsi="Arial" w:cs="Arial"/>
                <w:bCs/>
                <w:color w:val="auto"/>
                <w:kern w:val="2"/>
                <w:lang w:eastAsia="ko-KR" w:bidi="ar-SA"/>
              </w:rPr>
              <w:t>1,666.8</w:t>
            </w:r>
          </w:p>
        </w:tc>
      </w:tr>
      <w:tr w:rsidR="00AC0781" w:rsidRPr="003C728A"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eastAsia="ko-KR" w:bidi="ar-SA"/>
              </w:rPr>
            </w:pPr>
            <w:r w:rsidRPr="003C728A">
              <w:rPr>
                <w:rFonts w:ascii="Arial" w:eastAsia="Malgun Gothic" w:hAnsi="Arial" w:cs="Arial"/>
                <w:bCs/>
                <w:color w:val="auto"/>
                <w:kern w:val="2"/>
                <w:lang w:eastAsia="ko-KR" w:bidi="ar-SA"/>
              </w:rPr>
              <w:t>Operating Profit</w:t>
            </w:r>
          </w:p>
        </w:tc>
        <w:tc>
          <w:tcPr>
            <w:tcW w:w="2384" w:type="dxa"/>
            <w:noWrap/>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color w:val="auto"/>
                <w:kern w:val="2"/>
                <w:lang w:eastAsia="ko-KR" w:bidi="ar-SA"/>
              </w:rPr>
            </w:pPr>
            <w:r w:rsidRPr="003C728A">
              <w:rPr>
                <w:rFonts w:ascii="Arial" w:eastAsia="Malgun Gothic" w:hAnsi="Arial" w:cs="Arial"/>
                <w:color w:val="auto"/>
                <w:kern w:val="2"/>
                <w:lang w:eastAsia="ko-KR" w:bidi="ar-SA"/>
              </w:rPr>
              <w:t>310.3</w:t>
            </w:r>
          </w:p>
        </w:tc>
        <w:tc>
          <w:tcPr>
            <w:tcW w:w="2384" w:type="dxa"/>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color w:val="auto"/>
                <w:kern w:val="2"/>
                <w:lang w:eastAsia="ko-KR" w:bidi="ar-SA"/>
              </w:rPr>
            </w:pPr>
            <w:r w:rsidRPr="003C728A">
              <w:rPr>
                <w:rFonts w:ascii="Arial" w:eastAsia="Malgun Gothic" w:hAnsi="Arial" w:cs="Arial"/>
                <w:color w:val="auto"/>
                <w:kern w:val="2"/>
                <w:lang w:eastAsia="ko-KR" w:bidi="ar-SA"/>
              </w:rPr>
              <w:t>232.2</w:t>
            </w:r>
          </w:p>
        </w:tc>
        <w:tc>
          <w:tcPr>
            <w:tcW w:w="2384" w:type="dxa"/>
            <w:tcMar>
              <w:top w:w="0" w:type="dxa"/>
              <w:left w:w="99" w:type="dxa"/>
              <w:bottom w:w="0" w:type="dxa"/>
              <w:right w:w="99" w:type="dxa"/>
            </w:tcMar>
            <w:vAlign w:val="center"/>
          </w:tcPr>
          <w:p w:rsidR="00AC0781" w:rsidRPr="003C728A"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eastAsia="ko-KR" w:bidi="ar-SA"/>
              </w:rPr>
            </w:pPr>
            <w:r w:rsidRPr="003C728A">
              <w:rPr>
                <w:rFonts w:ascii="Arial" w:eastAsia="Malgun Gothic" w:hAnsi="Arial" w:cs="Arial"/>
                <w:bCs/>
                <w:color w:val="auto"/>
                <w:kern w:val="2"/>
                <w:lang w:eastAsia="ko-KR" w:bidi="ar-SA"/>
              </w:rPr>
              <w:t>203.7</w:t>
            </w:r>
          </w:p>
        </w:tc>
      </w:tr>
      <w:bookmarkEnd w:id="0"/>
    </w:tbl>
    <w:p w:rsidR="00AC0781" w:rsidRPr="003C728A" w:rsidRDefault="00AC0781" w:rsidP="00AC0781">
      <w:pPr>
        <w:suppressAutoHyphens w:val="0"/>
        <w:autoSpaceDE w:val="0"/>
        <w:autoSpaceDN w:val="0"/>
        <w:spacing w:line="276" w:lineRule="auto"/>
        <w:rPr>
          <w:rFonts w:ascii="Arial" w:eastAsia="Malgun Gothic" w:hAnsi="Arial" w:cs="Arial"/>
          <w:b/>
          <w:bCs/>
          <w:color w:val="auto"/>
          <w:kern w:val="2"/>
          <w:szCs w:val="24"/>
          <w:lang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AC0781" w:rsidRPr="003C728A" w:rsidTr="00AC0781">
        <w:trPr>
          <w:trHeight w:val="312"/>
        </w:trPr>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24"/>
              </w:rPr>
              <w:t>(Unit: Million USD)</w:t>
            </w:r>
          </w:p>
        </w:tc>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Q2 FY 2016</w:t>
            </w:r>
          </w:p>
        </w:tc>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Q1 FY 2017</w:t>
            </w:r>
          </w:p>
        </w:tc>
        <w:tc>
          <w:tcPr>
            <w:tcW w:w="2375"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Q2 FY 2017</w:t>
            </w:r>
          </w:p>
        </w:tc>
      </w:tr>
      <w:tr w:rsidR="00AC0781" w:rsidRPr="003C728A" w:rsidTr="00AC0781">
        <w:trPr>
          <w:trHeight w:val="312"/>
        </w:trPr>
        <w:tc>
          <w:tcPr>
            <w:tcW w:w="2374" w:type="dxa"/>
            <w:shd w:val="clear" w:color="auto" w:fill="F2F2F2"/>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18"/>
              </w:rPr>
            </w:pPr>
            <w:r w:rsidRPr="003C728A">
              <w:rPr>
                <w:rFonts w:ascii="Arial" w:eastAsia="Malgun Gothic" w:hAnsi="Arial" w:cs="Arial"/>
                <w:bCs/>
                <w:color w:val="auto"/>
                <w:kern w:val="2"/>
                <w:szCs w:val="18"/>
              </w:rPr>
              <w:t>Sales</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1,484.9</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1,420.1</w:t>
            </w:r>
          </w:p>
        </w:tc>
        <w:tc>
          <w:tcPr>
            <w:tcW w:w="2375"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1,475.8</w:t>
            </w:r>
          </w:p>
        </w:tc>
      </w:tr>
      <w:tr w:rsidR="00AC0781" w:rsidRPr="003C728A" w:rsidTr="00AC0781">
        <w:trPr>
          <w:trHeight w:val="312"/>
        </w:trPr>
        <w:tc>
          <w:tcPr>
            <w:tcW w:w="2374" w:type="dxa"/>
            <w:shd w:val="clear" w:color="auto" w:fill="F2F2F2"/>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18"/>
              </w:rPr>
            </w:pPr>
            <w:r w:rsidRPr="003C728A">
              <w:rPr>
                <w:rFonts w:ascii="Arial" w:eastAsia="Malgun Gothic" w:hAnsi="Arial" w:cs="Arial"/>
                <w:bCs/>
                <w:color w:val="auto"/>
                <w:kern w:val="2"/>
                <w:szCs w:val="18"/>
              </w:rPr>
              <w:t>Operating Profit</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266.7</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201.2</w:t>
            </w:r>
          </w:p>
        </w:tc>
        <w:tc>
          <w:tcPr>
            <w:tcW w:w="2375"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180.4</w:t>
            </w:r>
          </w:p>
        </w:tc>
      </w:tr>
    </w:tbl>
    <w:p w:rsidR="00AC0781" w:rsidRPr="003C728A" w:rsidRDefault="00AC0781" w:rsidP="00AC0781">
      <w:pPr>
        <w:suppressAutoHyphens w:val="0"/>
        <w:autoSpaceDE w:val="0"/>
        <w:autoSpaceDN w:val="0"/>
        <w:spacing w:line="276" w:lineRule="auto"/>
        <w:rPr>
          <w:rFonts w:ascii="Arial" w:eastAsia="Malgun Gothic" w:hAnsi="Arial" w:cs="Arial"/>
          <w:b/>
          <w:bCs/>
          <w:color w:val="auto"/>
          <w:kern w:val="2"/>
          <w:szCs w:val="24"/>
          <w:lang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AC0781" w:rsidRPr="003C728A" w:rsidTr="00AC0781">
        <w:trPr>
          <w:trHeight w:val="312"/>
        </w:trPr>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24"/>
              </w:rPr>
              <w:t>(Unit: Million EUR)</w:t>
            </w:r>
          </w:p>
        </w:tc>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Q2 FY 2016</w:t>
            </w:r>
          </w:p>
        </w:tc>
        <w:tc>
          <w:tcPr>
            <w:tcW w:w="2374"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Q1 FY 2017</w:t>
            </w:r>
          </w:p>
        </w:tc>
        <w:tc>
          <w:tcPr>
            <w:tcW w:w="2375" w:type="dxa"/>
            <w:shd w:val="clear" w:color="auto" w:fill="7F7F7F"/>
            <w:vAlign w:val="center"/>
          </w:tcPr>
          <w:p w:rsidR="00AC0781" w:rsidRPr="003C728A" w:rsidRDefault="00AC0781" w:rsidP="00AC0781">
            <w:pPr>
              <w:suppressAutoHyphens w:val="0"/>
              <w:spacing w:line="276" w:lineRule="auto"/>
              <w:jc w:val="center"/>
              <w:rPr>
                <w:rFonts w:ascii="Arial" w:eastAsia="Malgun Gothic" w:hAnsi="Arial" w:cs="Arial"/>
                <w:b/>
                <w:bCs/>
                <w:color w:val="FFFFFF"/>
                <w:kern w:val="2"/>
                <w:szCs w:val="18"/>
              </w:rPr>
            </w:pPr>
            <w:r w:rsidRPr="003C728A">
              <w:rPr>
                <w:rFonts w:ascii="Arial" w:eastAsia="Malgun Gothic" w:hAnsi="Arial" w:cs="Arial"/>
                <w:b/>
                <w:bCs/>
                <w:color w:val="FFFFFF"/>
                <w:kern w:val="2"/>
                <w:szCs w:val="18"/>
              </w:rPr>
              <w:t>Q2 FY 2017</w:t>
            </w:r>
          </w:p>
        </w:tc>
      </w:tr>
      <w:tr w:rsidR="00AC0781" w:rsidRPr="003C728A" w:rsidTr="00AC0781">
        <w:trPr>
          <w:trHeight w:val="312"/>
        </w:trPr>
        <w:tc>
          <w:tcPr>
            <w:tcW w:w="2374" w:type="dxa"/>
            <w:shd w:val="clear" w:color="auto" w:fill="F2F2F2"/>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18"/>
              </w:rPr>
            </w:pPr>
            <w:r w:rsidRPr="003C728A">
              <w:rPr>
                <w:rFonts w:ascii="Arial" w:eastAsia="Malgun Gothic" w:hAnsi="Arial" w:cs="Arial"/>
                <w:bCs/>
                <w:color w:val="auto"/>
                <w:kern w:val="2"/>
                <w:szCs w:val="18"/>
              </w:rPr>
              <w:t>Sales</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1,315.4</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1,333.2</w:t>
            </w:r>
          </w:p>
        </w:tc>
        <w:tc>
          <w:tcPr>
            <w:tcW w:w="2375"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1,341.1</w:t>
            </w:r>
          </w:p>
        </w:tc>
      </w:tr>
      <w:tr w:rsidR="00AC0781" w:rsidRPr="003C728A" w:rsidTr="00AC0781">
        <w:trPr>
          <w:trHeight w:val="312"/>
        </w:trPr>
        <w:tc>
          <w:tcPr>
            <w:tcW w:w="2374" w:type="dxa"/>
            <w:shd w:val="clear" w:color="auto" w:fill="F2F2F2"/>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18"/>
              </w:rPr>
            </w:pPr>
            <w:r w:rsidRPr="003C728A">
              <w:rPr>
                <w:rFonts w:ascii="Arial" w:eastAsia="Malgun Gothic" w:hAnsi="Arial" w:cs="Arial"/>
                <w:bCs/>
                <w:color w:val="auto"/>
                <w:kern w:val="2"/>
                <w:szCs w:val="18"/>
              </w:rPr>
              <w:t>Operating Profit</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236.3</w:t>
            </w:r>
          </w:p>
        </w:tc>
        <w:tc>
          <w:tcPr>
            <w:tcW w:w="2374"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188.9</w:t>
            </w:r>
          </w:p>
        </w:tc>
        <w:tc>
          <w:tcPr>
            <w:tcW w:w="2375" w:type="dxa"/>
            <w:vAlign w:val="center"/>
          </w:tcPr>
          <w:p w:rsidR="00AC0781" w:rsidRPr="003C728A" w:rsidRDefault="00AC0781" w:rsidP="00AC0781">
            <w:pPr>
              <w:suppressAutoHyphens w:val="0"/>
              <w:spacing w:line="276" w:lineRule="auto"/>
              <w:jc w:val="center"/>
              <w:rPr>
                <w:rFonts w:ascii="Arial" w:eastAsia="Malgun Gothic" w:hAnsi="Arial" w:cs="Arial"/>
                <w:bCs/>
                <w:color w:val="auto"/>
                <w:kern w:val="2"/>
                <w:szCs w:val="24"/>
              </w:rPr>
            </w:pPr>
            <w:r w:rsidRPr="003C728A">
              <w:rPr>
                <w:rFonts w:ascii="Arial" w:eastAsia="Malgun Gothic" w:hAnsi="Arial" w:cs="Arial"/>
                <w:bCs/>
                <w:color w:val="auto"/>
                <w:kern w:val="2"/>
                <w:szCs w:val="24"/>
              </w:rPr>
              <w:t>163.9</w:t>
            </w:r>
          </w:p>
        </w:tc>
      </w:tr>
    </w:tbl>
    <w:p w:rsidR="00AC0781" w:rsidRPr="003C728A" w:rsidRDefault="00AC0781" w:rsidP="00AC0781">
      <w:pPr>
        <w:suppressAutoHyphens w:val="0"/>
        <w:autoSpaceDE w:val="0"/>
        <w:autoSpaceDN w:val="0"/>
        <w:spacing w:line="276" w:lineRule="auto"/>
        <w:rPr>
          <w:rFonts w:ascii="Arial" w:eastAsia="Malgun Gothic" w:hAnsi="Arial" w:cs="Arial"/>
          <w:b/>
          <w:bCs/>
          <w:color w:val="auto"/>
          <w:kern w:val="2"/>
          <w:szCs w:val="24"/>
          <w:lang w:eastAsia="ko-KR" w:bidi="ar-SA"/>
        </w:rPr>
      </w:pPr>
    </w:p>
    <w:p w:rsidR="00AC0781" w:rsidRPr="003C728A" w:rsidRDefault="00AC0781" w:rsidP="00AC0781">
      <w:pPr>
        <w:suppressAutoHyphens w:val="0"/>
        <w:autoSpaceDE w:val="0"/>
        <w:autoSpaceDN w:val="0"/>
        <w:spacing w:line="276" w:lineRule="auto"/>
        <w:rPr>
          <w:rFonts w:ascii="Arial" w:eastAsia="Malgun Gothic" w:hAnsi="Arial" w:cs="Arial"/>
          <w:b/>
          <w:bCs/>
          <w:color w:val="auto"/>
          <w:kern w:val="2"/>
          <w:sz w:val="24"/>
          <w:szCs w:val="24"/>
          <w:lang w:eastAsia="ko-KR" w:bidi="ar-SA"/>
        </w:rPr>
      </w:pPr>
      <w:r w:rsidRPr="003C728A">
        <w:rPr>
          <w:rFonts w:ascii="Arial" w:eastAsia="Malgun Gothic" w:hAnsi="Arial" w:cs="Arial"/>
          <w:b/>
          <w:bCs/>
          <w:color w:val="auto"/>
          <w:kern w:val="2"/>
          <w:sz w:val="24"/>
          <w:szCs w:val="24"/>
          <w:lang w:eastAsia="ko-KR" w:bidi="ar-SA"/>
        </w:rPr>
        <w:t>*Exchange Rates</w:t>
      </w:r>
    </w:p>
    <w:tbl>
      <w:tblPr>
        <w:tblStyle w:val="0TableGrid1"/>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AC0781" w:rsidRPr="003C728A" w:rsidTr="00AC0781">
        <w:trPr>
          <w:trHeight w:val="312"/>
        </w:trPr>
        <w:tc>
          <w:tcPr>
            <w:tcW w:w="2375" w:type="dxa"/>
            <w:shd w:val="clear" w:color="auto" w:fill="7F7F7F"/>
            <w:vAlign w:val="center"/>
          </w:tcPr>
          <w:p w:rsidR="00AC0781" w:rsidRPr="003C728A" w:rsidRDefault="00AC0781" w:rsidP="00AC0781">
            <w:pPr>
              <w:suppressAutoHyphens w:val="0"/>
              <w:snapToGrid w:val="0"/>
              <w:ind w:rightChars="56" w:right="112"/>
              <w:jc w:val="center"/>
              <w:rPr>
                <w:rFonts w:ascii="Arial" w:eastAsia="Malgun Gothic" w:hAnsi="Arial" w:cs="Arial"/>
                <w:b/>
                <w:color w:val="FFFFFF"/>
                <w:kern w:val="2"/>
                <w:szCs w:val="22"/>
              </w:rPr>
            </w:pPr>
          </w:p>
        </w:tc>
        <w:tc>
          <w:tcPr>
            <w:tcW w:w="2375" w:type="dxa"/>
            <w:shd w:val="clear" w:color="auto" w:fill="7F7F7F"/>
            <w:vAlign w:val="center"/>
          </w:tcPr>
          <w:p w:rsidR="00AC0781" w:rsidRPr="003C728A" w:rsidRDefault="00AC0781" w:rsidP="00AC0781">
            <w:pPr>
              <w:suppressAutoHyphens w:val="0"/>
              <w:snapToGrid w:val="0"/>
              <w:ind w:rightChars="56" w:right="112"/>
              <w:jc w:val="center"/>
              <w:rPr>
                <w:rFonts w:ascii="Arial" w:eastAsia="Malgun Gothic" w:hAnsi="Arial" w:cs="Arial"/>
                <w:b/>
                <w:color w:val="FFFFFF"/>
                <w:kern w:val="2"/>
                <w:szCs w:val="22"/>
              </w:rPr>
            </w:pPr>
            <w:r w:rsidRPr="003C728A">
              <w:rPr>
                <w:rFonts w:ascii="Arial" w:eastAsia="Malgun Gothic" w:hAnsi="Arial" w:cs="Arial"/>
                <w:b/>
                <w:color w:val="FFFFFF"/>
                <w:kern w:val="2"/>
                <w:szCs w:val="22"/>
              </w:rPr>
              <w:t>Q2 FY 2016</w:t>
            </w:r>
          </w:p>
        </w:tc>
        <w:tc>
          <w:tcPr>
            <w:tcW w:w="2375" w:type="dxa"/>
            <w:shd w:val="clear" w:color="auto" w:fill="7F7F7F"/>
            <w:vAlign w:val="center"/>
          </w:tcPr>
          <w:p w:rsidR="00AC0781" w:rsidRPr="003C728A" w:rsidRDefault="00AC0781" w:rsidP="00AC0781">
            <w:pPr>
              <w:suppressAutoHyphens w:val="0"/>
              <w:snapToGrid w:val="0"/>
              <w:ind w:rightChars="56" w:right="112"/>
              <w:jc w:val="center"/>
              <w:rPr>
                <w:rFonts w:ascii="Arial" w:eastAsia="Malgun Gothic" w:hAnsi="Arial" w:cs="Arial"/>
                <w:b/>
                <w:color w:val="FFFFFF"/>
                <w:kern w:val="2"/>
                <w:szCs w:val="22"/>
              </w:rPr>
            </w:pPr>
            <w:r w:rsidRPr="003C728A">
              <w:rPr>
                <w:rFonts w:ascii="Arial" w:eastAsia="Malgun Gothic" w:hAnsi="Arial" w:cs="Arial"/>
                <w:b/>
                <w:color w:val="FFFFFF"/>
                <w:kern w:val="2"/>
                <w:szCs w:val="22"/>
              </w:rPr>
              <w:t>Q1 FY 2017</w:t>
            </w:r>
          </w:p>
        </w:tc>
        <w:tc>
          <w:tcPr>
            <w:tcW w:w="2375" w:type="dxa"/>
            <w:shd w:val="clear" w:color="auto" w:fill="7F7F7F"/>
            <w:vAlign w:val="center"/>
          </w:tcPr>
          <w:p w:rsidR="00AC0781" w:rsidRPr="003C728A" w:rsidRDefault="00AC0781" w:rsidP="00AC0781">
            <w:pPr>
              <w:suppressAutoHyphens w:val="0"/>
              <w:snapToGrid w:val="0"/>
              <w:ind w:rightChars="56" w:right="112"/>
              <w:jc w:val="center"/>
              <w:rPr>
                <w:rFonts w:ascii="Arial" w:eastAsia="Malgun Gothic" w:hAnsi="Arial" w:cs="Arial"/>
                <w:b/>
                <w:color w:val="FFFFFF"/>
                <w:kern w:val="2"/>
                <w:szCs w:val="22"/>
              </w:rPr>
            </w:pPr>
            <w:r w:rsidRPr="003C728A">
              <w:rPr>
                <w:rFonts w:ascii="Arial" w:eastAsia="Malgun Gothic" w:hAnsi="Arial" w:cs="Arial"/>
                <w:b/>
                <w:color w:val="FFFFFF"/>
                <w:kern w:val="2"/>
                <w:szCs w:val="22"/>
              </w:rPr>
              <w:t>Q2 FY 2017</w:t>
            </w:r>
          </w:p>
        </w:tc>
      </w:tr>
      <w:tr w:rsidR="00AC0781" w:rsidRPr="003C728A" w:rsidTr="00942840">
        <w:trPr>
          <w:trHeight w:val="312"/>
        </w:trPr>
        <w:tc>
          <w:tcPr>
            <w:tcW w:w="2375" w:type="dxa"/>
            <w:vAlign w:val="center"/>
          </w:tcPr>
          <w:p w:rsidR="00AC0781" w:rsidRPr="003C728A" w:rsidRDefault="00AC0781" w:rsidP="00AC0781">
            <w:pPr>
              <w:suppressAutoHyphens w:val="0"/>
              <w:snapToGrid w:val="0"/>
              <w:ind w:rightChars="56" w:right="112"/>
              <w:jc w:val="center"/>
              <w:rPr>
                <w:rFonts w:ascii="Arial" w:eastAsia="Malgun Gothic" w:hAnsi="Arial" w:cs="Arial"/>
                <w:color w:val="auto"/>
                <w:kern w:val="2"/>
                <w:szCs w:val="22"/>
              </w:rPr>
            </w:pPr>
            <w:r w:rsidRPr="003C728A">
              <w:rPr>
                <w:rFonts w:ascii="Arial" w:eastAsia="Malgun Gothic" w:hAnsi="Arial" w:cs="Arial"/>
                <w:color w:val="auto"/>
                <w:kern w:val="2"/>
                <w:szCs w:val="22"/>
              </w:rPr>
              <w:t>USD / KRW</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1,163.30</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1,154.28</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1,129.43</w:t>
            </w:r>
          </w:p>
        </w:tc>
      </w:tr>
      <w:tr w:rsidR="00AC0781" w:rsidRPr="003C728A" w:rsidTr="00942840">
        <w:trPr>
          <w:trHeight w:val="312"/>
        </w:trPr>
        <w:tc>
          <w:tcPr>
            <w:tcW w:w="2375" w:type="dxa"/>
            <w:vAlign w:val="center"/>
          </w:tcPr>
          <w:p w:rsidR="00AC0781" w:rsidRPr="003C728A" w:rsidRDefault="00AC0781" w:rsidP="00AC0781">
            <w:pPr>
              <w:suppressAutoHyphens w:val="0"/>
              <w:snapToGrid w:val="0"/>
              <w:ind w:rightChars="56" w:right="112"/>
              <w:jc w:val="center"/>
              <w:rPr>
                <w:rFonts w:ascii="Arial" w:eastAsia="Malgun Gothic" w:hAnsi="Arial" w:cs="Arial"/>
                <w:color w:val="auto"/>
                <w:kern w:val="2"/>
                <w:szCs w:val="22"/>
              </w:rPr>
            </w:pPr>
            <w:r w:rsidRPr="003C728A">
              <w:rPr>
                <w:rFonts w:ascii="Arial" w:eastAsia="Malgun Gothic" w:hAnsi="Arial" w:cs="Arial"/>
                <w:color w:val="auto"/>
                <w:kern w:val="2"/>
                <w:szCs w:val="22"/>
              </w:rPr>
              <w:t>EUR / KRW</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1,313.26</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1,229.54</w:t>
            </w:r>
          </w:p>
        </w:tc>
        <w:tc>
          <w:tcPr>
            <w:tcW w:w="2375" w:type="dxa"/>
            <w:vAlign w:val="center"/>
          </w:tcPr>
          <w:p w:rsidR="00AC0781" w:rsidRPr="003C728A" w:rsidRDefault="00AC0781" w:rsidP="00AC0781">
            <w:pPr>
              <w:suppressAutoHyphens w:val="0"/>
              <w:jc w:val="center"/>
              <w:rPr>
                <w:rFonts w:ascii="Arial" w:eastAsia="Malgun Gothic" w:hAnsi="Arial" w:cs="Arial"/>
                <w:color w:val="auto"/>
                <w:kern w:val="2"/>
                <w:szCs w:val="22"/>
              </w:rPr>
            </w:pPr>
            <w:r w:rsidRPr="003C728A">
              <w:rPr>
                <w:rFonts w:ascii="Arial" w:eastAsia="Malgun Gothic" w:hAnsi="Arial" w:cs="Arial"/>
                <w:color w:val="auto"/>
                <w:kern w:val="2"/>
                <w:szCs w:val="22"/>
              </w:rPr>
              <w:t>1,242.84</w:t>
            </w:r>
          </w:p>
        </w:tc>
      </w:tr>
    </w:tbl>
    <w:p w:rsidR="0052739E" w:rsidRPr="00B44E37" w:rsidRDefault="00AC0781" w:rsidP="00F45CAA">
      <w:pPr>
        <w:suppressAutoHyphens w:val="0"/>
        <w:autoSpaceDE w:val="0"/>
        <w:autoSpaceDN w:val="0"/>
        <w:ind w:firstLineChars="100" w:firstLine="180"/>
        <w:rPr>
          <w:rFonts w:ascii="Arial" w:eastAsia="Malgun Gothic" w:hAnsi="Arial" w:cs="Arial"/>
          <w:color w:val="auto"/>
          <w:kern w:val="2"/>
          <w:sz w:val="22"/>
          <w:szCs w:val="22"/>
          <w:lang w:val="en-US" w:eastAsia="ko-KR" w:bidi="ar-SA"/>
        </w:rPr>
      </w:pPr>
      <w:r w:rsidRPr="00B44E37">
        <w:rPr>
          <w:rFonts w:ascii="Arial" w:eastAsia="Malgun Gothic" w:hAnsi="Arial" w:cs="Arial"/>
          <w:i/>
          <w:iCs/>
          <w:color w:val="auto"/>
          <w:kern w:val="2"/>
          <w:sz w:val="18"/>
          <w:szCs w:val="18"/>
          <w:lang w:val="en-US" w:eastAsia="ko-KR" w:bidi="ar-SA"/>
        </w:rPr>
        <w:t>(NOTE: Average exchange rates for the given annual period, retrieved from Korea Exchange Bank)</w:t>
      </w:r>
    </w:p>
    <w:p w:rsidR="00F45CAA" w:rsidRDefault="00F45CAA">
      <w:pPr>
        <w:widowControl/>
        <w:suppressAutoHyphens w:val="0"/>
        <w:jc w:val="left"/>
        <w:rPr>
          <w:rFonts w:ascii="Helvetica" w:hAnsi="Helvetica"/>
          <w:lang w:val="en-US"/>
        </w:rPr>
      </w:pPr>
      <w:r>
        <w:rPr>
          <w:rFonts w:ascii="Helvetica" w:hAnsi="Helvetica"/>
          <w:lang w:val="en-US"/>
        </w:rPr>
        <w:br w:type="page"/>
      </w:r>
    </w:p>
    <w:p w:rsidR="00F45CAA" w:rsidRPr="008A46D7" w:rsidRDefault="00F45CAA" w:rsidP="00F45CAA">
      <w:pPr>
        <w:spacing w:line="320" w:lineRule="exact"/>
        <w:rPr>
          <w:b/>
          <w:bCs/>
          <w:sz w:val="21"/>
          <w:szCs w:val="21"/>
        </w:rPr>
      </w:pPr>
      <w:r w:rsidRPr="008A46D7">
        <w:rPr>
          <w:b/>
          <w:bCs/>
          <w:sz w:val="21"/>
          <w:szCs w:val="21"/>
        </w:rPr>
        <w:lastRenderedPageBreak/>
        <w:t>Tietoa Hankookista</w:t>
      </w:r>
    </w:p>
    <w:p w:rsidR="00F45CAA" w:rsidRPr="008A46D7" w:rsidRDefault="00F45CAA" w:rsidP="00F45CAA">
      <w:pPr>
        <w:spacing w:line="320" w:lineRule="exact"/>
        <w:rPr>
          <w:b/>
          <w:bCs/>
          <w:sz w:val="21"/>
          <w:szCs w:val="21"/>
        </w:rPr>
      </w:pPr>
    </w:p>
    <w:p w:rsidR="00F45CAA" w:rsidRPr="008A46D7" w:rsidRDefault="00F45CAA" w:rsidP="00F45CAA">
      <w:pPr>
        <w:spacing w:line="276" w:lineRule="auto"/>
        <w:rPr>
          <w:sz w:val="21"/>
          <w:szCs w:val="21"/>
        </w:rPr>
      </w:pPr>
      <w:r w:rsidRPr="008A46D7">
        <w:rPr>
          <w:sz w:val="21"/>
          <w:szCs w:val="21"/>
        </w:rPr>
        <w:t>Yhtenä maailman viidestä tuotantovolyymiltaan suurimmasta rengasvalmistajasta Hankook tuottaa premium-lohkolla innovatiivisia, korkean suorituskyvyn vyörenkaita henkilöautoihin, SUV-autoihin, maastoautoihin, kevyisiin kuorma-autoihin, matkailuautoihin, kuorma-autoihin, busseihin ja autourheiluun (rata-ajoon ja ralleihin).</w:t>
      </w:r>
    </w:p>
    <w:p w:rsidR="00F45CAA" w:rsidRPr="008A46D7" w:rsidRDefault="00F45CAA" w:rsidP="00F45CAA">
      <w:pPr>
        <w:spacing w:line="276" w:lineRule="auto"/>
        <w:rPr>
          <w:sz w:val="21"/>
          <w:szCs w:val="21"/>
        </w:rPr>
      </w:pPr>
    </w:p>
    <w:p w:rsidR="00F45CAA" w:rsidRPr="008A46D7" w:rsidRDefault="00F45CAA" w:rsidP="00F45CAA">
      <w:pPr>
        <w:spacing w:line="276" w:lineRule="auto"/>
        <w:rPr>
          <w:sz w:val="21"/>
          <w:szCs w:val="21"/>
        </w:rPr>
      </w:pPr>
      <w:r w:rsidRPr="008A46D7">
        <w:rPr>
          <w:sz w:val="21"/>
          <w:szCs w:val="21"/>
        </w:rPr>
        <w:t>Hankook investoi jatkuvasti tutkimukseen ja tuotekehitykseen tarjotakseen asiakkailleen aina korkeinta laatua ja pitkälle kehitettyä huipputekniikkaa. Yritys kehittää ja tuottaa maailmanlaajuisesti viidessä kehityskeskuksessa ja seitsemässä tehtaassa</w:t>
      </w:r>
      <w:r w:rsidRPr="00A40D48">
        <w:rPr>
          <w:sz w:val="21"/>
          <w:szCs w:val="21"/>
        </w:rPr>
        <w:t>anrenkaita</w:t>
      </w:r>
      <w:r w:rsidRPr="008A46D7">
        <w:rPr>
          <w:sz w:val="21"/>
          <w:szCs w:val="21"/>
        </w:rPr>
        <w:t xml:space="preserve">, jotka on erityisesti räätälöity alueellisten markkinoiden vaatimusten ja tarpeiden </w:t>
      </w:r>
      <w:r>
        <w:rPr>
          <w:sz w:val="21"/>
          <w:szCs w:val="21"/>
        </w:rPr>
        <w:t>mukaisiksi</w:t>
      </w:r>
      <w:r w:rsidRPr="008A46D7">
        <w:rPr>
          <w:sz w:val="21"/>
          <w:szCs w:val="21"/>
        </w:rPr>
        <w:t>. E</w:t>
      </w:r>
      <w:r>
        <w:rPr>
          <w:sz w:val="21"/>
          <w:szCs w:val="21"/>
        </w:rPr>
        <w:t>uroopassa renkaat</w:t>
      </w:r>
      <w:r w:rsidRPr="008A46D7">
        <w:rPr>
          <w:sz w:val="21"/>
          <w:szCs w:val="21"/>
        </w:rPr>
        <w:t xml:space="preserve"> kehitetään paikallisille markkinoille ja alkuper</w:t>
      </w:r>
      <w:r w:rsidRPr="00A40D48">
        <w:rPr>
          <w:sz w:val="21"/>
          <w:szCs w:val="21"/>
        </w:rPr>
        <w:t>äisrenkaiksi</w:t>
      </w:r>
      <w:r w:rsidRPr="008A46D7">
        <w:rPr>
          <w:sz w:val="21"/>
          <w:szCs w:val="21"/>
        </w:rPr>
        <w:t xml:space="preserve"> johtavien eurooppalaisten autonvalmistajien määritysten mukaisesti </w:t>
      </w:r>
      <w:r>
        <w:rPr>
          <w:sz w:val="21"/>
          <w:szCs w:val="21"/>
        </w:rPr>
        <w:t>Hankookin tekniikkakeskuksessa</w:t>
      </w:r>
      <w:r w:rsidRPr="008A46D7">
        <w:rPr>
          <w:sz w:val="21"/>
          <w:szCs w:val="21"/>
        </w:rPr>
        <w:t xml:space="preserve">, joka sijaitsee Hannoverissa, Saksassa. Renkaat valmistetaan muun muassa yrityksen huippunykyaikaisessa </w:t>
      </w:r>
      <w:r>
        <w:rPr>
          <w:sz w:val="21"/>
          <w:szCs w:val="21"/>
        </w:rPr>
        <w:t xml:space="preserve">Euroopan </w:t>
      </w:r>
      <w:r w:rsidRPr="008A46D7">
        <w:rPr>
          <w:sz w:val="21"/>
          <w:szCs w:val="21"/>
        </w:rPr>
        <w:t>tehtaassa Rácalmásissa, Unkarissa. Se vihittiin käyttöön vuonna 2007 ja sitä laajennetaan jatkuvasti. Tällä hetkellä yli 3000 työntekijää valmistaa tässä tehtaassa vuosittain jopa 19 miljoonaa rengasta henkilöautoihin, SUV-autoihin ja kevyisiin kuorma-autoihin.</w:t>
      </w:r>
    </w:p>
    <w:p w:rsidR="00F45CAA" w:rsidRPr="008A46D7" w:rsidRDefault="00F45CAA" w:rsidP="00F45CAA">
      <w:pPr>
        <w:spacing w:line="276" w:lineRule="auto"/>
        <w:rPr>
          <w:sz w:val="21"/>
          <w:szCs w:val="21"/>
        </w:rPr>
      </w:pPr>
    </w:p>
    <w:p w:rsidR="00F45CAA" w:rsidRPr="008A46D7" w:rsidRDefault="00F45CAA" w:rsidP="00F45CAA">
      <w:pPr>
        <w:spacing w:line="276" w:lineRule="auto"/>
        <w:rPr>
          <w:sz w:val="21"/>
          <w:szCs w:val="21"/>
        </w:rPr>
      </w:pPr>
      <w:r w:rsidRPr="008A46D7">
        <w:rPr>
          <w:sz w:val="21"/>
          <w:szCs w:val="21"/>
        </w:rPr>
        <w:t>Hankookin Euroopan ja samalla Saksan pääkonttori sijaitsee Neu-Isenburgissa lähellä Frankfurt am Mainia. Hankookilla on lisäksi eurooppalaisia haaraliikkeitä Britanniassa, Ranskassa, Italiassa, Espanjassa, Alankomaissa, Unkarissa, Tšekin tasavallassa, Venäjällä, Turkissa, Ruotsissa ja Puolassa. Muissa Euroopan maissa Hankookin renkaita myyvät suoraan alueellis</w:t>
      </w:r>
      <w:r w:rsidRPr="00A40D48">
        <w:rPr>
          <w:sz w:val="21"/>
          <w:szCs w:val="21"/>
        </w:rPr>
        <w:t>et maahantuojat.</w:t>
      </w:r>
      <w:r w:rsidRPr="008A46D7">
        <w:rPr>
          <w:sz w:val="21"/>
          <w:szCs w:val="21"/>
        </w:rPr>
        <w:t xml:space="preserve"> Yritys työllistää maailmanlaajuisesti 22 000 ihmistä ja toimittaa tuotteitaan yli 180 maahan. Johtavat autonvalmistajat luottavat Hankookin renkaisiin </w:t>
      </w:r>
      <w:r w:rsidRPr="00F7720A">
        <w:rPr>
          <w:sz w:val="21"/>
          <w:szCs w:val="21"/>
        </w:rPr>
        <w:t>alkuperäisrenkaina. Yrityksen</w:t>
      </w:r>
      <w:r w:rsidRPr="008A46D7">
        <w:rPr>
          <w:sz w:val="21"/>
          <w:szCs w:val="21"/>
        </w:rPr>
        <w:t xml:space="preserve"> liikevaihdosta noin 30 % syntyy Euroopassa ja IVY-maissa.</w:t>
      </w:r>
    </w:p>
    <w:p w:rsidR="00F45CAA" w:rsidRPr="008A46D7" w:rsidRDefault="00F45CAA" w:rsidP="00F45CAA">
      <w:pPr>
        <w:snapToGrid w:val="0"/>
        <w:spacing w:line="276" w:lineRule="auto"/>
        <w:rPr>
          <w:bCs/>
          <w:sz w:val="21"/>
          <w:szCs w:val="21"/>
        </w:rPr>
      </w:pPr>
    </w:p>
    <w:p w:rsidR="00F45CAA" w:rsidRPr="009459AD" w:rsidRDefault="00F45CAA" w:rsidP="00F45CAA">
      <w:pPr>
        <w:snapToGrid w:val="0"/>
        <w:spacing w:line="276" w:lineRule="auto"/>
        <w:rPr>
          <w:bCs/>
          <w:color w:val="0000FF"/>
          <w:sz w:val="21"/>
          <w:u w:val="single"/>
        </w:rPr>
      </w:pPr>
      <w:r w:rsidRPr="008A46D7">
        <w:rPr>
          <w:bCs/>
          <w:sz w:val="21"/>
          <w:szCs w:val="21"/>
        </w:rPr>
        <w:t xml:space="preserve">Lisätietoja löydät osoitteesta </w:t>
      </w:r>
      <w:hyperlink r:id="rId8" w:history="1">
        <w:r w:rsidRPr="00BD65EE">
          <w:rPr>
            <w:rStyle w:val="Hyperlink"/>
            <w:bCs/>
            <w:sz w:val="21"/>
          </w:rPr>
          <w:t>www.hankooktire-mediacenter.com</w:t>
        </w:r>
      </w:hyperlink>
      <w:r w:rsidRPr="008A46D7">
        <w:rPr>
          <w:bCs/>
          <w:sz w:val="21"/>
          <w:szCs w:val="21"/>
        </w:rPr>
        <w:t xml:space="preserve"> tai </w:t>
      </w:r>
      <w:hyperlink r:id="rId9" w:history="1">
        <w:r w:rsidRPr="008A46D7">
          <w:rPr>
            <w:bCs/>
            <w:color w:val="0000FF"/>
            <w:sz w:val="21"/>
            <w:u w:val="single"/>
          </w:rPr>
          <w:t>www.hankooktire.com</w:t>
        </w:r>
      </w:hyperlink>
    </w:p>
    <w:p w:rsidR="00F45CAA" w:rsidRDefault="00F45CAA" w:rsidP="00F45CAA">
      <w:pPr>
        <w:spacing w:line="320" w:lineRule="exact"/>
        <w:rPr>
          <w:u w:val="single"/>
        </w:rPr>
      </w:pPr>
    </w:p>
    <w:p w:rsidR="00F45CAA" w:rsidRPr="008A46D7" w:rsidRDefault="00F45CAA" w:rsidP="00F45CAA">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45CAA" w:rsidRPr="00C06E0E" w:rsidTr="00FE7D8D">
        <w:tc>
          <w:tcPr>
            <w:tcW w:w="9437" w:type="dxa"/>
            <w:gridSpan w:val="4"/>
            <w:shd w:val="clear" w:color="auto" w:fill="F2F2F2"/>
          </w:tcPr>
          <w:p w:rsidR="00F45CAA" w:rsidRPr="008A46D7" w:rsidRDefault="00F45CAA" w:rsidP="00FE7D8D">
            <w:pPr>
              <w:spacing w:after="120"/>
              <w:rPr>
                <w:b/>
                <w:bCs/>
                <w:sz w:val="21"/>
                <w:szCs w:val="21"/>
                <w:u w:val="single"/>
              </w:rPr>
            </w:pPr>
            <w:r w:rsidRPr="008A46D7">
              <w:rPr>
                <w:b/>
                <w:bCs/>
                <w:sz w:val="21"/>
                <w:szCs w:val="21"/>
                <w:u w:val="single"/>
              </w:rPr>
              <w:t>Yhteystiedot:</w:t>
            </w:r>
          </w:p>
          <w:p w:rsidR="00F45CAA" w:rsidRPr="00A91B3E" w:rsidRDefault="00F45CAA" w:rsidP="00FE7D8D">
            <w:pPr>
              <w:rPr>
                <w:sz w:val="16"/>
                <w:szCs w:val="16"/>
              </w:rPr>
            </w:pPr>
            <w:r w:rsidRPr="00A91B3E">
              <w:rPr>
                <w:b/>
                <w:bCs/>
                <w:sz w:val="16"/>
                <w:szCs w:val="16"/>
              </w:rPr>
              <w:t xml:space="preserve">Hankook Tire Europe GmbH | </w:t>
            </w:r>
            <w:r w:rsidRPr="00A91B3E">
              <w:rPr>
                <w:bCs/>
                <w:sz w:val="16"/>
                <w:szCs w:val="16"/>
              </w:rPr>
              <w:t>Corporate Communications Europe/CIS</w:t>
            </w:r>
            <w:r w:rsidRPr="00A91B3E">
              <w:rPr>
                <w:b/>
                <w:bCs/>
                <w:sz w:val="16"/>
                <w:szCs w:val="16"/>
              </w:rPr>
              <w:t xml:space="preserve"> | </w:t>
            </w:r>
            <w:r w:rsidRPr="00A91B3E">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rsidR="00F45CAA" w:rsidRPr="00A91B3E" w:rsidRDefault="00F45CAA" w:rsidP="00FE7D8D">
            <w:pPr>
              <w:rPr>
                <w:sz w:val="21"/>
                <w:szCs w:val="21"/>
                <w:u w:val="single"/>
              </w:rPr>
            </w:pPr>
          </w:p>
        </w:tc>
      </w:tr>
      <w:tr w:rsidR="00F45CAA" w:rsidRPr="00C06E0E" w:rsidTr="00FE7D8D">
        <w:tc>
          <w:tcPr>
            <w:tcW w:w="2359" w:type="dxa"/>
            <w:shd w:val="clear" w:color="auto" w:fill="F2F2F2"/>
          </w:tcPr>
          <w:p w:rsidR="00F45CAA" w:rsidRPr="007E0D65" w:rsidRDefault="00F45CAA" w:rsidP="00FE7D8D">
            <w:pPr>
              <w:rPr>
                <w:b/>
                <w:snapToGrid w:val="0"/>
                <w:sz w:val="16"/>
                <w:szCs w:val="16"/>
                <w:lang w:val="de-DE"/>
              </w:rPr>
            </w:pPr>
            <w:r w:rsidRPr="007E0D65">
              <w:rPr>
                <w:b/>
                <w:snapToGrid w:val="0"/>
                <w:sz w:val="16"/>
                <w:szCs w:val="16"/>
                <w:lang w:val="de-DE"/>
              </w:rPr>
              <w:t xml:space="preserve">Felix </w:t>
            </w:r>
            <w:proofErr w:type="spellStart"/>
            <w:r w:rsidRPr="007E0D65">
              <w:rPr>
                <w:b/>
                <w:snapToGrid w:val="0"/>
                <w:sz w:val="16"/>
                <w:szCs w:val="16"/>
                <w:lang w:val="de-DE"/>
              </w:rPr>
              <w:t>Kinzer</w:t>
            </w:r>
            <w:proofErr w:type="spellEnd"/>
          </w:p>
          <w:p w:rsidR="00F45CAA" w:rsidRPr="007E0D65" w:rsidRDefault="00F45CAA" w:rsidP="00FE7D8D">
            <w:pPr>
              <w:rPr>
                <w:snapToGrid w:val="0"/>
                <w:sz w:val="16"/>
                <w:szCs w:val="16"/>
                <w:lang w:val="de-DE"/>
              </w:rPr>
            </w:pPr>
            <w:proofErr w:type="spellStart"/>
            <w:r w:rsidRPr="007E0D65">
              <w:rPr>
                <w:snapToGrid w:val="0"/>
                <w:sz w:val="16"/>
                <w:szCs w:val="16"/>
                <w:lang w:val="de-DE"/>
              </w:rPr>
              <w:t>Johtaja</w:t>
            </w:r>
            <w:proofErr w:type="spellEnd"/>
          </w:p>
          <w:p w:rsidR="00F45CAA" w:rsidRPr="007E0D65" w:rsidRDefault="00F45CAA" w:rsidP="00FE7D8D">
            <w:pPr>
              <w:rPr>
                <w:snapToGrid w:val="0"/>
                <w:sz w:val="16"/>
                <w:szCs w:val="16"/>
                <w:lang w:val="de-DE"/>
              </w:rPr>
            </w:pPr>
            <w:r>
              <w:rPr>
                <w:snapToGrid w:val="0"/>
                <w:sz w:val="16"/>
                <w:szCs w:val="16"/>
                <w:lang w:val="de-DE"/>
              </w:rPr>
              <w:t>Puh</w:t>
            </w:r>
            <w:r w:rsidRPr="007E0D65">
              <w:rPr>
                <w:snapToGrid w:val="0"/>
                <w:sz w:val="16"/>
                <w:szCs w:val="16"/>
                <w:lang w:val="de-DE"/>
              </w:rPr>
              <w:t>.: +49 (0) 61 02 8149 – 170</w:t>
            </w:r>
          </w:p>
          <w:p w:rsidR="00F45CAA" w:rsidRPr="007E0D65" w:rsidRDefault="00841F1D" w:rsidP="00FE7D8D">
            <w:pPr>
              <w:rPr>
                <w:snapToGrid w:val="0"/>
                <w:sz w:val="16"/>
                <w:szCs w:val="16"/>
                <w:lang w:val="de-DE"/>
              </w:rPr>
            </w:pPr>
            <w:hyperlink r:id="rId10" w:history="1">
              <w:r w:rsidR="00F45CAA" w:rsidRPr="007E0D65">
                <w:rPr>
                  <w:rStyle w:val="Hyperlink"/>
                  <w:snapToGrid w:val="0"/>
                  <w:sz w:val="16"/>
                  <w:szCs w:val="16"/>
                  <w:lang w:val="de-DE"/>
                </w:rPr>
                <w:t>f.kinzer@hankookreifen.de</w:t>
              </w:r>
            </w:hyperlink>
          </w:p>
          <w:p w:rsidR="00F45CAA" w:rsidRDefault="00F45CAA" w:rsidP="00FE7D8D">
            <w:pPr>
              <w:rPr>
                <w:sz w:val="21"/>
                <w:szCs w:val="21"/>
                <w:lang w:val="de-DE"/>
              </w:rPr>
            </w:pPr>
          </w:p>
        </w:tc>
        <w:tc>
          <w:tcPr>
            <w:tcW w:w="2359" w:type="dxa"/>
            <w:shd w:val="clear" w:color="auto" w:fill="F2F2F2"/>
          </w:tcPr>
          <w:p w:rsidR="00F45CAA" w:rsidRPr="00D97D8E" w:rsidRDefault="00F45CAA" w:rsidP="00F45CAA">
            <w:pPr>
              <w:spacing w:line="200" w:lineRule="exact"/>
              <w:rPr>
                <w:b/>
                <w:sz w:val="16"/>
                <w:szCs w:val="16"/>
                <w:lang w:val="it-IT"/>
              </w:rPr>
            </w:pPr>
            <w:r w:rsidRPr="00D97D8E">
              <w:rPr>
                <w:b/>
                <w:sz w:val="16"/>
                <w:szCs w:val="16"/>
                <w:lang w:val="it-IT"/>
              </w:rPr>
              <w:t>Sabine Riedel</w:t>
            </w:r>
          </w:p>
          <w:p w:rsidR="00F45CAA" w:rsidRPr="008A46D7" w:rsidRDefault="00F45CAA" w:rsidP="00F45CAA">
            <w:pPr>
              <w:rPr>
                <w:sz w:val="16"/>
                <w:szCs w:val="16"/>
              </w:rPr>
            </w:pPr>
            <w:r w:rsidRPr="008A46D7">
              <w:rPr>
                <w:sz w:val="16"/>
                <w:szCs w:val="16"/>
              </w:rPr>
              <w:t>Tiedotusosasto</w:t>
            </w:r>
          </w:p>
          <w:p w:rsidR="00F45CAA" w:rsidRPr="00D97D8E" w:rsidRDefault="00F45CAA" w:rsidP="00F45CAA">
            <w:pPr>
              <w:spacing w:line="200" w:lineRule="exact"/>
              <w:rPr>
                <w:snapToGrid w:val="0"/>
                <w:sz w:val="16"/>
                <w:szCs w:val="16"/>
                <w:lang w:val="it-IT"/>
              </w:rPr>
            </w:pPr>
            <w:r>
              <w:rPr>
                <w:snapToGrid w:val="0"/>
                <w:sz w:val="16"/>
                <w:szCs w:val="16"/>
              </w:rPr>
              <w:t>Puh</w:t>
            </w:r>
            <w:r w:rsidRPr="00D97D8E">
              <w:rPr>
                <w:snapToGrid w:val="0"/>
                <w:sz w:val="16"/>
                <w:szCs w:val="16"/>
                <w:lang w:val="it-IT"/>
              </w:rPr>
              <w:t>.: +49 (0) 6102 8149 – 174</w:t>
            </w:r>
          </w:p>
          <w:p w:rsidR="00F45CAA" w:rsidRPr="00A045AA" w:rsidRDefault="00841F1D" w:rsidP="00F45CAA">
            <w:pPr>
              <w:rPr>
                <w:sz w:val="16"/>
                <w:szCs w:val="16"/>
                <w:lang w:val="it-IT"/>
              </w:rPr>
            </w:pPr>
            <w:hyperlink r:id="rId11" w:history="1">
              <w:r w:rsidR="00F45CAA" w:rsidRPr="00D97D8E">
                <w:rPr>
                  <w:rStyle w:val="Hyperlink"/>
                  <w:snapToGrid w:val="0"/>
                  <w:sz w:val="16"/>
                  <w:szCs w:val="16"/>
                  <w:lang w:val="it-IT"/>
                </w:rPr>
                <w:t>s.riedel@hankookreifen.de</w:t>
              </w:r>
            </w:hyperlink>
          </w:p>
        </w:tc>
        <w:tc>
          <w:tcPr>
            <w:tcW w:w="2359" w:type="dxa"/>
            <w:shd w:val="clear" w:color="auto" w:fill="F2F2F2"/>
          </w:tcPr>
          <w:p w:rsidR="00F45CAA" w:rsidRPr="00D97D8E" w:rsidRDefault="00F45CAA" w:rsidP="00FE7D8D">
            <w:pPr>
              <w:rPr>
                <w:sz w:val="21"/>
                <w:szCs w:val="21"/>
                <w:lang w:val="it-IT"/>
              </w:rPr>
            </w:pPr>
          </w:p>
        </w:tc>
        <w:tc>
          <w:tcPr>
            <w:tcW w:w="2360" w:type="dxa"/>
            <w:shd w:val="clear" w:color="auto" w:fill="F2F2F2"/>
          </w:tcPr>
          <w:p w:rsidR="00F45CAA" w:rsidRPr="00D97D8E" w:rsidRDefault="00F45CAA" w:rsidP="00FE7D8D">
            <w:pPr>
              <w:spacing w:line="200" w:lineRule="exact"/>
              <w:rPr>
                <w:sz w:val="21"/>
                <w:szCs w:val="21"/>
                <w:lang w:val="it-IT"/>
              </w:rPr>
            </w:pPr>
          </w:p>
        </w:tc>
      </w:tr>
    </w:tbl>
    <w:p w:rsidR="00A723E2" w:rsidRPr="00A045AA" w:rsidRDefault="00A723E2" w:rsidP="005131AB">
      <w:pPr>
        <w:rPr>
          <w:rFonts w:ascii="Helvetica" w:hAnsi="Helvetica"/>
          <w:lang w:val="it-IT"/>
        </w:rPr>
      </w:pPr>
    </w:p>
    <w:sectPr w:rsidR="00A723E2" w:rsidRPr="00A045AA"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1D" w:rsidRDefault="00841F1D">
      <w:r>
        <w:separator/>
      </w:r>
    </w:p>
  </w:endnote>
  <w:endnote w:type="continuationSeparator" w:id="0">
    <w:p w:rsidR="00841F1D" w:rsidRDefault="0084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1D" w:rsidRDefault="00841F1D">
      <w:r>
        <w:separator/>
      </w:r>
    </w:p>
  </w:footnote>
  <w:footnote w:type="continuationSeparator" w:id="0">
    <w:p w:rsidR="00841F1D" w:rsidRDefault="0084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AC0781">
    <w:pPr>
      <w:pStyle w:val="Kopfzeile"/>
    </w:pPr>
    <w:r>
      <w:rPr>
        <w:noProof/>
        <w:lang w:eastAsia="fi-FI" w:bidi="ar-SA"/>
      </w:rPr>
      <w:drawing>
        <wp:inline distT="0" distB="0" distL="0" distR="0">
          <wp:extent cx="6120130" cy="585886"/>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210E7"/>
    <w:rsid w:val="000332FD"/>
    <w:rsid w:val="00037F89"/>
    <w:rsid w:val="00042B26"/>
    <w:rsid w:val="00042BDC"/>
    <w:rsid w:val="00046E26"/>
    <w:rsid w:val="000707C2"/>
    <w:rsid w:val="0008133E"/>
    <w:rsid w:val="000B01AA"/>
    <w:rsid w:val="000B78B2"/>
    <w:rsid w:val="000B7F76"/>
    <w:rsid w:val="000C38D5"/>
    <w:rsid w:val="000C5257"/>
    <w:rsid w:val="000D0075"/>
    <w:rsid w:val="000E504D"/>
    <w:rsid w:val="000E5B09"/>
    <w:rsid w:val="000F1339"/>
    <w:rsid w:val="000F383B"/>
    <w:rsid w:val="000F6C5B"/>
    <w:rsid w:val="000F728A"/>
    <w:rsid w:val="0011511D"/>
    <w:rsid w:val="001163DD"/>
    <w:rsid w:val="00132F98"/>
    <w:rsid w:val="00145950"/>
    <w:rsid w:val="00147EB6"/>
    <w:rsid w:val="00161955"/>
    <w:rsid w:val="00163920"/>
    <w:rsid w:val="00174A7D"/>
    <w:rsid w:val="00174AC5"/>
    <w:rsid w:val="001824F2"/>
    <w:rsid w:val="00186210"/>
    <w:rsid w:val="0019686F"/>
    <w:rsid w:val="001B0CBE"/>
    <w:rsid w:val="001B5523"/>
    <w:rsid w:val="001C306C"/>
    <w:rsid w:val="001C50A7"/>
    <w:rsid w:val="001D1A33"/>
    <w:rsid w:val="001E14CB"/>
    <w:rsid w:val="001E1CA4"/>
    <w:rsid w:val="001E5860"/>
    <w:rsid w:val="001E68CD"/>
    <w:rsid w:val="001F0D6D"/>
    <w:rsid w:val="001F2137"/>
    <w:rsid w:val="001F2CE5"/>
    <w:rsid w:val="0021380A"/>
    <w:rsid w:val="00217822"/>
    <w:rsid w:val="00242941"/>
    <w:rsid w:val="00253B1B"/>
    <w:rsid w:val="002643E7"/>
    <w:rsid w:val="00264A09"/>
    <w:rsid w:val="00276D86"/>
    <w:rsid w:val="002821C3"/>
    <w:rsid w:val="00286C34"/>
    <w:rsid w:val="002935DB"/>
    <w:rsid w:val="00294272"/>
    <w:rsid w:val="002950E1"/>
    <w:rsid w:val="002A2EE7"/>
    <w:rsid w:val="002A3215"/>
    <w:rsid w:val="002A6165"/>
    <w:rsid w:val="002A69FD"/>
    <w:rsid w:val="002C7CC7"/>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749DD"/>
    <w:rsid w:val="00382B70"/>
    <w:rsid w:val="003945AC"/>
    <w:rsid w:val="003A6919"/>
    <w:rsid w:val="003C2C07"/>
    <w:rsid w:val="003C5F06"/>
    <w:rsid w:val="003C6392"/>
    <w:rsid w:val="003C6BA6"/>
    <w:rsid w:val="003C728A"/>
    <w:rsid w:val="003D37F2"/>
    <w:rsid w:val="003E52CE"/>
    <w:rsid w:val="003F06CF"/>
    <w:rsid w:val="00413C13"/>
    <w:rsid w:val="004328DE"/>
    <w:rsid w:val="00432965"/>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B5974"/>
    <w:rsid w:val="004C0BF7"/>
    <w:rsid w:val="004C59E3"/>
    <w:rsid w:val="004E6DC0"/>
    <w:rsid w:val="004F042B"/>
    <w:rsid w:val="004F0F5C"/>
    <w:rsid w:val="004F4650"/>
    <w:rsid w:val="004F7425"/>
    <w:rsid w:val="005131AB"/>
    <w:rsid w:val="0051481D"/>
    <w:rsid w:val="00516754"/>
    <w:rsid w:val="00521642"/>
    <w:rsid w:val="0052739E"/>
    <w:rsid w:val="005319AE"/>
    <w:rsid w:val="00534087"/>
    <w:rsid w:val="00545866"/>
    <w:rsid w:val="005476DB"/>
    <w:rsid w:val="005519B1"/>
    <w:rsid w:val="00552AA7"/>
    <w:rsid w:val="00576299"/>
    <w:rsid w:val="00580D4A"/>
    <w:rsid w:val="00584950"/>
    <w:rsid w:val="005A1096"/>
    <w:rsid w:val="005A1295"/>
    <w:rsid w:val="005C2BC8"/>
    <w:rsid w:val="005E387E"/>
    <w:rsid w:val="005E7787"/>
    <w:rsid w:val="00600B02"/>
    <w:rsid w:val="00623E1A"/>
    <w:rsid w:val="006369D3"/>
    <w:rsid w:val="00637493"/>
    <w:rsid w:val="0064744E"/>
    <w:rsid w:val="00655428"/>
    <w:rsid w:val="00656AB1"/>
    <w:rsid w:val="0066590E"/>
    <w:rsid w:val="00666B30"/>
    <w:rsid w:val="006828D9"/>
    <w:rsid w:val="00694D9B"/>
    <w:rsid w:val="0069627C"/>
    <w:rsid w:val="006A0748"/>
    <w:rsid w:val="006A24ED"/>
    <w:rsid w:val="006A5B18"/>
    <w:rsid w:val="006A6B65"/>
    <w:rsid w:val="006B21DA"/>
    <w:rsid w:val="007038E8"/>
    <w:rsid w:val="007121B6"/>
    <w:rsid w:val="00712A4A"/>
    <w:rsid w:val="007351EE"/>
    <w:rsid w:val="00735892"/>
    <w:rsid w:val="007366F3"/>
    <w:rsid w:val="00740E19"/>
    <w:rsid w:val="0074170A"/>
    <w:rsid w:val="0074471C"/>
    <w:rsid w:val="00753B81"/>
    <w:rsid w:val="00763E80"/>
    <w:rsid w:val="00765EB6"/>
    <w:rsid w:val="00770260"/>
    <w:rsid w:val="0077205B"/>
    <w:rsid w:val="00775ECE"/>
    <w:rsid w:val="00784B0F"/>
    <w:rsid w:val="00785CA4"/>
    <w:rsid w:val="00787814"/>
    <w:rsid w:val="007950CE"/>
    <w:rsid w:val="00797CEF"/>
    <w:rsid w:val="007A21B7"/>
    <w:rsid w:val="007A27CA"/>
    <w:rsid w:val="007C4D8D"/>
    <w:rsid w:val="007C7385"/>
    <w:rsid w:val="007D3C03"/>
    <w:rsid w:val="007E6905"/>
    <w:rsid w:val="008012BD"/>
    <w:rsid w:val="00801E26"/>
    <w:rsid w:val="00832AF4"/>
    <w:rsid w:val="008333FD"/>
    <w:rsid w:val="00841F1D"/>
    <w:rsid w:val="00843333"/>
    <w:rsid w:val="00857EBB"/>
    <w:rsid w:val="00867EB4"/>
    <w:rsid w:val="008923C0"/>
    <w:rsid w:val="00892C20"/>
    <w:rsid w:val="00895E2C"/>
    <w:rsid w:val="008A0079"/>
    <w:rsid w:val="008A296E"/>
    <w:rsid w:val="008B4556"/>
    <w:rsid w:val="008B622D"/>
    <w:rsid w:val="008C2C59"/>
    <w:rsid w:val="008C79C4"/>
    <w:rsid w:val="008E0414"/>
    <w:rsid w:val="008F5235"/>
    <w:rsid w:val="008F5EFB"/>
    <w:rsid w:val="00901E8D"/>
    <w:rsid w:val="009025B6"/>
    <w:rsid w:val="0090629F"/>
    <w:rsid w:val="009077AF"/>
    <w:rsid w:val="00910720"/>
    <w:rsid w:val="009125BE"/>
    <w:rsid w:val="0092121C"/>
    <w:rsid w:val="00945BA0"/>
    <w:rsid w:val="0094731B"/>
    <w:rsid w:val="00973F85"/>
    <w:rsid w:val="00974B91"/>
    <w:rsid w:val="00984D92"/>
    <w:rsid w:val="00984D95"/>
    <w:rsid w:val="00986B23"/>
    <w:rsid w:val="00986E83"/>
    <w:rsid w:val="009B1D17"/>
    <w:rsid w:val="009B3220"/>
    <w:rsid w:val="009C7AF4"/>
    <w:rsid w:val="009D5008"/>
    <w:rsid w:val="00A045AA"/>
    <w:rsid w:val="00A12A28"/>
    <w:rsid w:val="00A30159"/>
    <w:rsid w:val="00A34710"/>
    <w:rsid w:val="00A51963"/>
    <w:rsid w:val="00A54EB3"/>
    <w:rsid w:val="00A5574B"/>
    <w:rsid w:val="00A6628F"/>
    <w:rsid w:val="00A669C4"/>
    <w:rsid w:val="00A71607"/>
    <w:rsid w:val="00A723E2"/>
    <w:rsid w:val="00A7648A"/>
    <w:rsid w:val="00A81412"/>
    <w:rsid w:val="00A92F58"/>
    <w:rsid w:val="00A9664A"/>
    <w:rsid w:val="00AA0BC3"/>
    <w:rsid w:val="00AA18A2"/>
    <w:rsid w:val="00AA5544"/>
    <w:rsid w:val="00AB1E4B"/>
    <w:rsid w:val="00AB4263"/>
    <w:rsid w:val="00AB7522"/>
    <w:rsid w:val="00AC0781"/>
    <w:rsid w:val="00AD0D5A"/>
    <w:rsid w:val="00AE0E77"/>
    <w:rsid w:val="00AF0CDF"/>
    <w:rsid w:val="00AF6D3D"/>
    <w:rsid w:val="00B031DD"/>
    <w:rsid w:val="00B06B7E"/>
    <w:rsid w:val="00B07995"/>
    <w:rsid w:val="00B07B33"/>
    <w:rsid w:val="00B10795"/>
    <w:rsid w:val="00B1442A"/>
    <w:rsid w:val="00B165CA"/>
    <w:rsid w:val="00B35145"/>
    <w:rsid w:val="00B3769D"/>
    <w:rsid w:val="00B44E37"/>
    <w:rsid w:val="00B50EC7"/>
    <w:rsid w:val="00B56897"/>
    <w:rsid w:val="00B75E0F"/>
    <w:rsid w:val="00B77896"/>
    <w:rsid w:val="00B82C01"/>
    <w:rsid w:val="00B92153"/>
    <w:rsid w:val="00BB2959"/>
    <w:rsid w:val="00BB61EB"/>
    <w:rsid w:val="00BD1C72"/>
    <w:rsid w:val="00BD36A8"/>
    <w:rsid w:val="00BD5EC9"/>
    <w:rsid w:val="00C06C4D"/>
    <w:rsid w:val="00C137B9"/>
    <w:rsid w:val="00C1768E"/>
    <w:rsid w:val="00C23E8F"/>
    <w:rsid w:val="00C2476C"/>
    <w:rsid w:val="00C2582D"/>
    <w:rsid w:val="00C3720C"/>
    <w:rsid w:val="00C50A04"/>
    <w:rsid w:val="00C55608"/>
    <w:rsid w:val="00C64052"/>
    <w:rsid w:val="00C662B0"/>
    <w:rsid w:val="00C67962"/>
    <w:rsid w:val="00C72559"/>
    <w:rsid w:val="00C75029"/>
    <w:rsid w:val="00C76CF3"/>
    <w:rsid w:val="00C8376D"/>
    <w:rsid w:val="00C904EC"/>
    <w:rsid w:val="00C92CF1"/>
    <w:rsid w:val="00CA7290"/>
    <w:rsid w:val="00CC1886"/>
    <w:rsid w:val="00CC4C4A"/>
    <w:rsid w:val="00CD47A6"/>
    <w:rsid w:val="00CD49E6"/>
    <w:rsid w:val="00CD612F"/>
    <w:rsid w:val="00CE11DF"/>
    <w:rsid w:val="00CE1920"/>
    <w:rsid w:val="00CE3116"/>
    <w:rsid w:val="00CE77F7"/>
    <w:rsid w:val="00CF0BEA"/>
    <w:rsid w:val="00CF60E8"/>
    <w:rsid w:val="00D06239"/>
    <w:rsid w:val="00D06F56"/>
    <w:rsid w:val="00D06F63"/>
    <w:rsid w:val="00D35008"/>
    <w:rsid w:val="00D41067"/>
    <w:rsid w:val="00D44EF8"/>
    <w:rsid w:val="00D525FF"/>
    <w:rsid w:val="00D5594D"/>
    <w:rsid w:val="00D65D77"/>
    <w:rsid w:val="00D760D0"/>
    <w:rsid w:val="00D82C1C"/>
    <w:rsid w:val="00D86271"/>
    <w:rsid w:val="00D91C79"/>
    <w:rsid w:val="00D9534C"/>
    <w:rsid w:val="00DA2AED"/>
    <w:rsid w:val="00DB0D62"/>
    <w:rsid w:val="00DB3903"/>
    <w:rsid w:val="00DB4DE7"/>
    <w:rsid w:val="00DB5DAD"/>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97B2D"/>
    <w:rsid w:val="00EA089F"/>
    <w:rsid w:val="00EB1C45"/>
    <w:rsid w:val="00EB504E"/>
    <w:rsid w:val="00ED4CA1"/>
    <w:rsid w:val="00EE06D1"/>
    <w:rsid w:val="00EF4C15"/>
    <w:rsid w:val="00EF4F15"/>
    <w:rsid w:val="00F00E85"/>
    <w:rsid w:val="00F0746D"/>
    <w:rsid w:val="00F07D00"/>
    <w:rsid w:val="00F15548"/>
    <w:rsid w:val="00F15E20"/>
    <w:rsid w:val="00F16583"/>
    <w:rsid w:val="00F350F2"/>
    <w:rsid w:val="00F37530"/>
    <w:rsid w:val="00F420E5"/>
    <w:rsid w:val="00F45CAA"/>
    <w:rsid w:val="00F5217E"/>
    <w:rsid w:val="00F53911"/>
    <w:rsid w:val="00F659A5"/>
    <w:rsid w:val="00F76403"/>
    <w:rsid w:val="00F819C7"/>
    <w:rsid w:val="00F85129"/>
    <w:rsid w:val="00FA3065"/>
    <w:rsid w:val="00FC797B"/>
    <w:rsid w:val="00FD5FF3"/>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92AA1"/>
  <w15:docId w15:val="{A6B77D65-9A3A-44F0-AF7C-B3E6FA9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0TableGrid1">
    <w:name w:val="_0Table Grid1"/>
    <w:basedOn w:val="NormaleTabelle"/>
    <w:next w:val="Tabellenraster"/>
    <w:rsid w:val="00AC0781"/>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525FF"/>
    <w:rPr>
      <w:sz w:val="16"/>
      <w:szCs w:val="16"/>
    </w:rPr>
  </w:style>
  <w:style w:type="paragraph" w:styleId="berarbeitung">
    <w:name w:val="Revision"/>
    <w:hidden/>
    <w:uiPriority w:val="99"/>
    <w:semiHidden/>
    <w:rsid w:val="007950C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78789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B40F-FFA7-4E3C-B36E-5D4BBD98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3992</Characters>
  <Application>Microsoft Office Word</Application>
  <DocSecurity>0</DocSecurity>
  <Lines>99</Lines>
  <Paragraphs>36</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11</cp:revision>
  <cp:lastPrinted>2017-08-08T16:06:00Z</cp:lastPrinted>
  <dcterms:created xsi:type="dcterms:W3CDTF">2017-08-14T07:14:00Z</dcterms:created>
  <dcterms:modified xsi:type="dcterms:W3CDTF">2017-08-14T14:37:00Z</dcterms:modified>
  <dc:language>de-DE</dc:language>
</cp:coreProperties>
</file>