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BB2C" w14:textId="0CCEA0F4" w:rsidR="00C4683D" w:rsidRPr="00C1195C" w:rsidRDefault="00C4683D" w:rsidP="00A76580">
      <w:pPr>
        <w:snapToGrid w:val="0"/>
        <w:ind w:rightChars="-15" w:right="-30"/>
        <w:jc w:val="center"/>
        <w:rPr>
          <w:rFonts w:ascii="Arial" w:eastAsia="Dotum" w:hAnsi="Arial" w:cs="Arial"/>
          <w:b/>
          <w:color w:val="FF6600"/>
          <w:sz w:val="32"/>
          <w:szCs w:val="32"/>
        </w:rPr>
      </w:pPr>
      <w:r>
        <w:rPr>
          <w:rFonts w:ascii="Arial" w:hAnsi="Arial"/>
          <w:b/>
          <w:color w:val="FF6600"/>
          <w:sz w:val="32"/>
        </w:rPr>
        <w:t>Hankook Tire prezentuje globalne wyniki finansowe</w:t>
      </w:r>
    </w:p>
    <w:p w14:paraId="1B821C69" w14:textId="40BCD642" w:rsidR="007713B4" w:rsidRPr="00C1195C" w:rsidRDefault="008047F0" w:rsidP="007713B4">
      <w:pPr>
        <w:snapToGrid w:val="0"/>
        <w:ind w:rightChars="-15" w:right="-30"/>
        <w:jc w:val="center"/>
        <w:rPr>
          <w:rFonts w:ascii="Arial" w:eastAsia="Dotum" w:hAnsi="Arial" w:cs="Arial"/>
          <w:b/>
          <w:color w:val="FF6600"/>
          <w:sz w:val="32"/>
          <w:szCs w:val="32"/>
        </w:rPr>
      </w:pPr>
      <w:r>
        <w:rPr>
          <w:rFonts w:ascii="Arial" w:hAnsi="Arial"/>
          <w:b/>
          <w:color w:val="FF6600"/>
          <w:sz w:val="32"/>
        </w:rPr>
        <w:t>za czwarty kwartał 2016 r.</w:t>
      </w:r>
    </w:p>
    <w:p w14:paraId="098BF0F9" w14:textId="77777777" w:rsidR="00C4683D" w:rsidRPr="008047F0" w:rsidRDefault="00C4683D" w:rsidP="007713B4">
      <w:pPr>
        <w:snapToGrid w:val="0"/>
        <w:ind w:rightChars="-15" w:right="-30"/>
        <w:jc w:val="center"/>
        <w:rPr>
          <w:rFonts w:ascii="Arial" w:eastAsia="Dotum" w:hAnsi="Arial" w:cs="Arial"/>
          <w:b/>
          <w:color w:val="ED7D31"/>
          <w:sz w:val="32"/>
          <w:szCs w:val="32"/>
        </w:rPr>
      </w:pPr>
    </w:p>
    <w:p w14:paraId="358BBD98" w14:textId="30B3E728" w:rsidR="00EC6383" w:rsidRPr="00EC6383" w:rsidRDefault="00F3212E" w:rsidP="00EC6383">
      <w:pPr>
        <w:widowControl/>
        <w:numPr>
          <w:ilvl w:val="0"/>
          <w:numId w:val="1"/>
        </w:numPr>
        <w:wordWrap/>
        <w:autoSpaceDE/>
        <w:autoSpaceDN/>
        <w:snapToGrid w:val="0"/>
        <w:spacing w:line="276" w:lineRule="auto"/>
        <w:ind w:rightChars="-15" w:right="-30"/>
        <w:rPr>
          <w:rFonts w:ascii="Times New Roman"/>
          <w:b/>
          <w:iCs/>
          <w:color w:val="000000" w:themeColor="text1"/>
          <w:kern w:val="0"/>
          <w:sz w:val="22"/>
          <w:szCs w:val="22"/>
        </w:rPr>
      </w:pPr>
      <w:r>
        <w:rPr>
          <w:rFonts w:ascii="Times New Roman"/>
          <w:b/>
          <w:color w:val="000000" w:themeColor="text1"/>
          <w:kern w:val="0"/>
          <w:sz w:val="22"/>
        </w:rPr>
        <w:t>W czwartym kwartale 2016 r. firma Hankook odnotowała globalny przychód ze sprzedaży wynoszący 1,61 biliona KRW oraz zysk operacyjny na poziomie 239,8 miliarda KRW.</w:t>
      </w:r>
    </w:p>
    <w:p w14:paraId="3DA0BC91" w14:textId="3853EA11" w:rsidR="005037DC" w:rsidRPr="00950A55" w:rsidRDefault="005376B1" w:rsidP="00A36415">
      <w:pPr>
        <w:widowControl/>
        <w:numPr>
          <w:ilvl w:val="0"/>
          <w:numId w:val="1"/>
        </w:numPr>
        <w:wordWrap/>
        <w:autoSpaceDE/>
        <w:autoSpaceDN/>
        <w:snapToGrid w:val="0"/>
        <w:spacing w:line="276" w:lineRule="auto"/>
        <w:ind w:rightChars="-15" w:right="-30"/>
        <w:rPr>
          <w:rFonts w:ascii="Times New Roman"/>
          <w:b/>
          <w:iCs/>
          <w:color w:val="000000" w:themeColor="text1"/>
          <w:kern w:val="0"/>
          <w:sz w:val="22"/>
          <w:szCs w:val="22"/>
        </w:rPr>
      </w:pPr>
      <w:r>
        <w:rPr>
          <w:rFonts w:ascii="Times New Roman"/>
          <w:b/>
          <w:color w:val="000000" w:themeColor="text1"/>
          <w:kern w:val="0"/>
          <w:sz w:val="22"/>
        </w:rPr>
        <w:t>W 2016 r. zysk operacyjny wzrósł o 24,7% w skali roku</w:t>
      </w:r>
      <w:r w:rsidR="00A86F4E">
        <w:rPr>
          <w:rFonts w:ascii="Times New Roman"/>
          <w:b/>
          <w:color w:val="000000" w:themeColor="text1"/>
          <w:kern w:val="0"/>
          <w:sz w:val="22"/>
        </w:rPr>
        <w:t>,</w:t>
      </w:r>
      <w:r>
        <w:rPr>
          <w:rFonts w:ascii="Times New Roman"/>
          <w:b/>
          <w:color w:val="000000" w:themeColor="text1"/>
          <w:kern w:val="0"/>
          <w:sz w:val="22"/>
        </w:rPr>
        <w:t xml:space="preserve"> dzięki </w:t>
      </w:r>
      <w:r w:rsidR="00A86F4E">
        <w:rPr>
          <w:rFonts w:ascii="Times New Roman"/>
          <w:b/>
          <w:color w:val="000000" w:themeColor="text1"/>
          <w:kern w:val="0"/>
          <w:sz w:val="22"/>
        </w:rPr>
        <w:t>sprzedaży</w:t>
      </w:r>
      <w:r>
        <w:rPr>
          <w:rFonts w:ascii="Times New Roman"/>
          <w:b/>
          <w:color w:val="000000" w:themeColor="text1"/>
          <w:kern w:val="0"/>
          <w:sz w:val="22"/>
        </w:rPr>
        <w:t xml:space="preserve"> opon </w:t>
      </w:r>
      <w:r w:rsidR="00A86F4E">
        <w:rPr>
          <w:rFonts w:ascii="Times New Roman"/>
          <w:b/>
          <w:color w:val="000000" w:themeColor="text1"/>
          <w:kern w:val="0"/>
          <w:sz w:val="22"/>
        </w:rPr>
        <w:t>na</w:t>
      </w:r>
      <w:r>
        <w:rPr>
          <w:rFonts w:ascii="Times New Roman"/>
          <w:b/>
          <w:color w:val="000000" w:themeColor="text1"/>
          <w:kern w:val="0"/>
          <w:sz w:val="22"/>
        </w:rPr>
        <w:t xml:space="preserve"> oryginalne wyposażenie (OE) oraz zwiększonej sprzedaży opon UH</w:t>
      </w:r>
      <w:r w:rsidR="00A86F4E">
        <w:rPr>
          <w:rFonts w:ascii="Times New Roman"/>
          <w:b/>
          <w:color w:val="000000" w:themeColor="text1"/>
          <w:kern w:val="0"/>
          <w:sz w:val="22"/>
        </w:rPr>
        <w:t xml:space="preserve">P (Ultra High Performance) </w:t>
      </w:r>
      <w:r>
        <w:rPr>
          <w:rFonts w:ascii="Times New Roman"/>
          <w:b/>
          <w:color w:val="000000" w:themeColor="text1"/>
          <w:kern w:val="0"/>
          <w:sz w:val="22"/>
        </w:rPr>
        <w:t>na głównych rynkach, przede wszystkim w Europie i Ameryce Północnej.</w:t>
      </w:r>
    </w:p>
    <w:p w14:paraId="5A6ED07B" w14:textId="77777777" w:rsidR="000875D5" w:rsidRPr="00344D69" w:rsidRDefault="000875D5" w:rsidP="009042E3">
      <w:pPr>
        <w:widowControl/>
        <w:wordWrap/>
        <w:autoSpaceDE/>
        <w:autoSpaceDN/>
        <w:snapToGrid w:val="0"/>
        <w:spacing w:line="276" w:lineRule="auto"/>
        <w:ind w:rightChars="-15" w:right="-30"/>
        <w:rPr>
          <w:rFonts w:ascii="Arial" w:hAnsi="Arial" w:cs="Arial"/>
          <w:b/>
          <w:iCs/>
          <w:color w:val="000000" w:themeColor="text1"/>
          <w:kern w:val="0"/>
          <w:sz w:val="24"/>
        </w:rPr>
      </w:pPr>
    </w:p>
    <w:p w14:paraId="6840D54C" w14:textId="7653C180" w:rsidR="00D221C8" w:rsidRPr="00950A55" w:rsidRDefault="00BC3FA8" w:rsidP="00950A55">
      <w:pPr>
        <w:tabs>
          <w:tab w:val="left" w:pos="1455"/>
        </w:tabs>
        <w:wordWrap/>
        <w:spacing w:line="276" w:lineRule="auto"/>
        <w:rPr>
          <w:rFonts w:ascii="Times New Roman"/>
          <w:iCs/>
          <w:color w:val="000000" w:themeColor="text1"/>
          <w:kern w:val="0"/>
          <w:sz w:val="21"/>
          <w:szCs w:val="21"/>
        </w:rPr>
      </w:pPr>
      <w:r>
        <w:rPr>
          <w:rFonts w:ascii="Times New Roman"/>
          <w:b/>
          <w:color w:val="000000" w:themeColor="text1"/>
          <w:sz w:val="21"/>
        </w:rPr>
        <w:t xml:space="preserve">Seul, Korea/Neu-Isenburg, Niemcy, </w:t>
      </w:r>
      <w:r w:rsidR="00462F5F">
        <w:rPr>
          <w:rFonts w:ascii="Times New Roman"/>
          <w:b/>
          <w:color w:val="000000" w:themeColor="text1"/>
          <w:sz w:val="21"/>
        </w:rPr>
        <w:t>20</w:t>
      </w:r>
      <w:bookmarkStart w:id="0" w:name="_GoBack"/>
      <w:bookmarkEnd w:id="0"/>
      <w:r>
        <w:rPr>
          <w:rFonts w:ascii="Times New Roman"/>
          <w:b/>
          <w:color w:val="000000" w:themeColor="text1"/>
          <w:sz w:val="21"/>
        </w:rPr>
        <w:t> lutego 2017 r. –</w:t>
      </w:r>
      <w:r>
        <w:rPr>
          <w:rFonts w:ascii="Times New Roman"/>
          <w:color w:val="000000" w:themeColor="text1"/>
          <w:sz w:val="21"/>
        </w:rPr>
        <w:t xml:space="preserve"> Firma Hankook Tire opublikowała dzisiaj swoje globalne wyniki finansowe za czwarty kwartał 2016 roku razem z wynikami skonsolidowanej sprzedaży, które osiągnęły poziom 1,61 biliona KRW (1,295 miliarda EUR) oraz zysk operacyjny rzędu 239,8 miliarda KRW (192,2 miliona EUR). Firma odnotowała przychód ze sprzedaży rzędu 6,62 biliona KRW (5,163 miliarda EUR) oraz zysk operacyjny wynoszący 1,10 biliona KRW (860,1 miliona EUR) w roku obrotowym 2016.</w:t>
      </w:r>
    </w:p>
    <w:p w14:paraId="1A43C3EA" w14:textId="77777777" w:rsidR="00D221C8" w:rsidRPr="00950A55" w:rsidRDefault="00D221C8" w:rsidP="00950A55">
      <w:pPr>
        <w:tabs>
          <w:tab w:val="left" w:pos="1455"/>
        </w:tabs>
        <w:wordWrap/>
        <w:spacing w:line="276" w:lineRule="auto"/>
        <w:rPr>
          <w:rFonts w:ascii="Times New Roman"/>
          <w:iCs/>
          <w:color w:val="000000" w:themeColor="text1"/>
          <w:kern w:val="0"/>
          <w:sz w:val="21"/>
          <w:szCs w:val="21"/>
        </w:rPr>
      </w:pPr>
    </w:p>
    <w:p w14:paraId="638E875B" w14:textId="714C5C11" w:rsidR="005C05F6" w:rsidRPr="00950A55" w:rsidRDefault="00106F2A" w:rsidP="00950A55">
      <w:pPr>
        <w:tabs>
          <w:tab w:val="left" w:pos="1455"/>
        </w:tabs>
        <w:wordWrap/>
        <w:spacing w:line="276" w:lineRule="auto"/>
        <w:rPr>
          <w:rFonts w:ascii="Times New Roman"/>
          <w:iCs/>
          <w:color w:val="000000" w:themeColor="text1"/>
          <w:kern w:val="0"/>
          <w:sz w:val="21"/>
          <w:szCs w:val="21"/>
        </w:rPr>
      </w:pPr>
      <w:r>
        <w:rPr>
          <w:rFonts w:ascii="Times New Roman"/>
          <w:color w:val="000000" w:themeColor="text1"/>
          <w:kern w:val="0"/>
          <w:sz w:val="21"/>
        </w:rPr>
        <w:t xml:space="preserve">Osiągnięcia te </w:t>
      </w:r>
      <w:r w:rsidR="00047B42">
        <w:rPr>
          <w:rFonts w:ascii="Times New Roman"/>
          <w:color w:val="000000" w:themeColor="text1"/>
          <w:kern w:val="0"/>
          <w:sz w:val="21"/>
        </w:rPr>
        <w:t xml:space="preserve">firma Hankook zawdzięcza </w:t>
      </w:r>
      <w:r>
        <w:rPr>
          <w:rFonts w:ascii="Times New Roman"/>
          <w:color w:val="000000" w:themeColor="text1"/>
          <w:kern w:val="0"/>
          <w:sz w:val="21"/>
        </w:rPr>
        <w:t>współpracy z wiodącymi producentami motoryzacyjnymi, którym stale dostarcza opony OE</w:t>
      </w:r>
      <w:r w:rsidR="00047B42">
        <w:rPr>
          <w:rFonts w:ascii="Times New Roman"/>
          <w:color w:val="000000" w:themeColor="text1"/>
          <w:kern w:val="0"/>
          <w:sz w:val="21"/>
        </w:rPr>
        <w:t>,</w:t>
      </w:r>
      <w:r>
        <w:rPr>
          <w:rFonts w:ascii="Times New Roman"/>
          <w:color w:val="000000" w:themeColor="text1"/>
          <w:kern w:val="0"/>
          <w:sz w:val="21"/>
        </w:rPr>
        <w:t xml:space="preserve"> stworzone w oparciu o najnowsze technologie i wyróżniające się wysoką jakością. Do wzrostu przyczyniły się także zwiększone wyniki sprzedaży w segmencie opon zapasowych (RE</w:t>
      </w:r>
      <w:r w:rsidR="00047B42">
        <w:rPr>
          <w:rFonts w:ascii="Times New Roman"/>
          <w:color w:val="000000" w:themeColor="text1"/>
          <w:kern w:val="0"/>
          <w:sz w:val="21"/>
        </w:rPr>
        <w:t xml:space="preserve">), a zwłaszcza w segmencie UHP, </w:t>
      </w:r>
      <w:r>
        <w:rPr>
          <w:rFonts w:ascii="Times New Roman"/>
          <w:color w:val="000000" w:themeColor="text1"/>
          <w:kern w:val="0"/>
          <w:sz w:val="21"/>
        </w:rPr>
        <w:t>obejmującym sprzedaż opon zimowych na terenie Europy. Ponadto firmie Hankook Tire udało się zapewnić zrównoważony wzrost</w:t>
      </w:r>
      <w:r w:rsidR="00047B42">
        <w:rPr>
          <w:rFonts w:ascii="Times New Roman"/>
          <w:color w:val="000000" w:themeColor="text1"/>
          <w:kern w:val="0"/>
          <w:sz w:val="21"/>
        </w:rPr>
        <w:t>,</w:t>
      </w:r>
      <w:r>
        <w:rPr>
          <w:rFonts w:ascii="Times New Roman"/>
          <w:color w:val="000000" w:themeColor="text1"/>
          <w:kern w:val="0"/>
          <w:sz w:val="21"/>
        </w:rPr>
        <w:t xml:space="preserve"> poprzez zwiększenie sprzedaży opon OE na rynku chińskim.</w:t>
      </w:r>
    </w:p>
    <w:p w14:paraId="393AAD80" w14:textId="77777777" w:rsidR="00823811" w:rsidRPr="00950A55" w:rsidRDefault="00823811" w:rsidP="00950A55">
      <w:pPr>
        <w:widowControl/>
        <w:shd w:val="clear" w:color="auto" w:fill="FFFFFF"/>
        <w:wordWrap/>
        <w:autoSpaceDE/>
        <w:autoSpaceDN/>
        <w:spacing w:line="276" w:lineRule="auto"/>
        <w:rPr>
          <w:rFonts w:ascii="Times New Roman"/>
          <w:iCs/>
          <w:color w:val="000000" w:themeColor="text1"/>
          <w:kern w:val="0"/>
          <w:sz w:val="21"/>
          <w:szCs w:val="21"/>
        </w:rPr>
      </w:pPr>
    </w:p>
    <w:p w14:paraId="1B1ED13B" w14:textId="055EAC54" w:rsidR="00200EAE" w:rsidRPr="00950A55" w:rsidRDefault="002C00EE" w:rsidP="00950A55">
      <w:pPr>
        <w:tabs>
          <w:tab w:val="left" w:pos="1455"/>
        </w:tabs>
        <w:wordWrap/>
        <w:spacing w:line="276" w:lineRule="auto"/>
        <w:rPr>
          <w:rFonts w:ascii="Times New Roman"/>
          <w:iCs/>
          <w:color w:val="000000" w:themeColor="text1"/>
          <w:kern w:val="0"/>
          <w:sz w:val="21"/>
          <w:szCs w:val="21"/>
        </w:rPr>
      </w:pPr>
      <w:r>
        <w:rPr>
          <w:rFonts w:ascii="Times New Roman"/>
          <w:color w:val="000000" w:themeColor="text1"/>
          <w:kern w:val="0"/>
          <w:sz w:val="21"/>
        </w:rPr>
        <w:t xml:space="preserve">W czwartym kwartale </w:t>
      </w:r>
      <w:r w:rsidR="007264EF">
        <w:rPr>
          <w:rFonts w:ascii="Times New Roman"/>
          <w:color w:val="000000" w:themeColor="text1"/>
          <w:kern w:val="0"/>
          <w:sz w:val="21"/>
        </w:rPr>
        <w:t xml:space="preserve">przychód ze sprzedaży opon UHP </w:t>
      </w:r>
      <w:r>
        <w:rPr>
          <w:rFonts w:ascii="Times New Roman"/>
          <w:color w:val="000000" w:themeColor="text1"/>
          <w:kern w:val="0"/>
          <w:sz w:val="21"/>
        </w:rPr>
        <w:t>stanowił 33,5% całkowitego przychodu ze sprzedaży, o 0,7% więcej niż w tym samym okresie ubiegłego roku. W skali roku</w:t>
      </w:r>
      <w:r w:rsidR="007264EF">
        <w:rPr>
          <w:rFonts w:ascii="Times New Roman"/>
          <w:color w:val="000000" w:themeColor="text1"/>
          <w:kern w:val="0"/>
          <w:sz w:val="21"/>
        </w:rPr>
        <w:t xml:space="preserve"> przychód ze sprzedaży opon UHP</w:t>
      </w:r>
      <w:r>
        <w:rPr>
          <w:rFonts w:ascii="Times New Roman"/>
          <w:color w:val="000000" w:themeColor="text1"/>
          <w:kern w:val="0"/>
          <w:sz w:val="21"/>
        </w:rPr>
        <w:t xml:space="preserve"> stanowił 34,5% całkowitego przychodu ze sprzedaży. </w:t>
      </w:r>
    </w:p>
    <w:p w14:paraId="2D80DED2" w14:textId="77777777" w:rsidR="00A57A2D" w:rsidRPr="00950A55" w:rsidRDefault="00A57A2D" w:rsidP="00950A55">
      <w:pPr>
        <w:tabs>
          <w:tab w:val="left" w:pos="1455"/>
        </w:tabs>
        <w:wordWrap/>
        <w:spacing w:line="276" w:lineRule="auto"/>
        <w:rPr>
          <w:rFonts w:ascii="Times New Roman"/>
          <w:iCs/>
          <w:color w:val="000000" w:themeColor="text1"/>
          <w:kern w:val="0"/>
          <w:sz w:val="21"/>
          <w:szCs w:val="21"/>
        </w:rPr>
      </w:pPr>
    </w:p>
    <w:p w14:paraId="1CB381A2" w14:textId="62C4CF46" w:rsidR="00A57A2D" w:rsidRPr="00950A55" w:rsidRDefault="00F6287A" w:rsidP="00950A55">
      <w:pPr>
        <w:tabs>
          <w:tab w:val="left" w:pos="1455"/>
        </w:tabs>
        <w:wordWrap/>
        <w:spacing w:line="276" w:lineRule="auto"/>
        <w:rPr>
          <w:rFonts w:ascii="Times New Roman"/>
          <w:iCs/>
          <w:color w:val="000000" w:themeColor="text1"/>
          <w:kern w:val="0"/>
          <w:sz w:val="21"/>
          <w:szCs w:val="21"/>
        </w:rPr>
      </w:pPr>
      <w:r>
        <w:rPr>
          <w:rFonts w:ascii="Times New Roman"/>
          <w:color w:val="000000" w:themeColor="text1"/>
          <w:kern w:val="0"/>
          <w:sz w:val="21"/>
        </w:rPr>
        <w:t>Aby osiągnąć cel wyznaczony na ten rok – globalny przychód ze sprzedaży na poziomie 7,22 biliona KRW – oraz podnieść wartość marki, firma Hankook Tire planuje rozszer</w:t>
      </w:r>
      <w:r w:rsidR="007264EF">
        <w:rPr>
          <w:rFonts w:ascii="Times New Roman"/>
          <w:color w:val="000000" w:themeColor="text1"/>
          <w:kern w:val="0"/>
          <w:sz w:val="21"/>
        </w:rPr>
        <w:t>zenie sprzedaży w segmencie UHP</w:t>
      </w:r>
      <w:r>
        <w:rPr>
          <w:rFonts w:ascii="Times New Roman"/>
          <w:color w:val="000000" w:themeColor="text1"/>
          <w:kern w:val="0"/>
          <w:sz w:val="21"/>
        </w:rPr>
        <w:t xml:space="preserve"> i OE dla nowych modeli samochodów </w:t>
      </w:r>
      <w:r w:rsidR="007264EF">
        <w:rPr>
          <w:rFonts w:ascii="Times New Roman"/>
          <w:color w:val="000000" w:themeColor="text1"/>
          <w:kern w:val="0"/>
          <w:sz w:val="21"/>
        </w:rPr>
        <w:t>,</w:t>
      </w:r>
      <w:r>
        <w:rPr>
          <w:rFonts w:ascii="Times New Roman"/>
          <w:color w:val="000000" w:themeColor="text1"/>
          <w:kern w:val="0"/>
          <w:sz w:val="21"/>
        </w:rPr>
        <w:t>wiodących producentów motoryzacyjnych. Co więcej</w:t>
      </w:r>
      <w:r w:rsidR="007264EF">
        <w:rPr>
          <w:rFonts w:ascii="Times New Roman"/>
          <w:color w:val="000000" w:themeColor="text1"/>
          <w:kern w:val="0"/>
          <w:sz w:val="21"/>
        </w:rPr>
        <w:t>,</w:t>
      </w:r>
      <w:r>
        <w:rPr>
          <w:rFonts w:ascii="Times New Roman"/>
          <w:color w:val="000000" w:themeColor="text1"/>
          <w:kern w:val="0"/>
          <w:sz w:val="21"/>
        </w:rPr>
        <w:t xml:space="preserve"> firma zamierza wzmocnić swoją obecność na rynku globalnym poprzez dywersyfikację portfolio w segmencie OE oraz optymalizację wszystkich strategii dystrybucji regionalnej. </w:t>
      </w:r>
    </w:p>
    <w:p w14:paraId="18AE45AA" w14:textId="77777777" w:rsidR="00200EAE" w:rsidRPr="00950A55" w:rsidRDefault="00200EAE" w:rsidP="00950A55">
      <w:pPr>
        <w:widowControl/>
        <w:shd w:val="clear" w:color="auto" w:fill="FFFFFF"/>
        <w:wordWrap/>
        <w:autoSpaceDE/>
        <w:autoSpaceDN/>
        <w:spacing w:line="276" w:lineRule="auto"/>
        <w:rPr>
          <w:rFonts w:ascii="Times New Roman"/>
          <w:iCs/>
          <w:color w:val="000000" w:themeColor="text1"/>
          <w:kern w:val="0"/>
          <w:sz w:val="21"/>
          <w:szCs w:val="21"/>
        </w:rPr>
      </w:pPr>
    </w:p>
    <w:p w14:paraId="70B35888" w14:textId="11DA181E" w:rsidR="0007704F" w:rsidRPr="00344D69" w:rsidRDefault="00200EAE" w:rsidP="00950A55">
      <w:pPr>
        <w:tabs>
          <w:tab w:val="left" w:pos="1455"/>
        </w:tabs>
        <w:wordWrap/>
        <w:spacing w:line="276" w:lineRule="auto"/>
        <w:rPr>
          <w:rFonts w:ascii="Arial" w:hAnsi="Arial" w:cs="Arial"/>
          <w:iCs/>
          <w:color w:val="000000" w:themeColor="text1"/>
          <w:kern w:val="0"/>
          <w:sz w:val="24"/>
        </w:rPr>
      </w:pPr>
      <w:r>
        <w:rPr>
          <w:rFonts w:ascii="Times New Roman"/>
          <w:color w:val="000000" w:themeColor="text1"/>
          <w:kern w:val="0"/>
          <w:sz w:val="21"/>
        </w:rPr>
        <w:t>Jako marka światowej klasy</w:t>
      </w:r>
      <w:r w:rsidR="00714197">
        <w:rPr>
          <w:rFonts w:ascii="Times New Roman"/>
          <w:color w:val="000000" w:themeColor="text1"/>
          <w:kern w:val="0"/>
          <w:sz w:val="21"/>
        </w:rPr>
        <w:t>,</w:t>
      </w:r>
      <w:r>
        <w:rPr>
          <w:rFonts w:ascii="Times New Roman"/>
          <w:color w:val="000000" w:themeColor="text1"/>
          <w:kern w:val="0"/>
          <w:sz w:val="21"/>
        </w:rPr>
        <w:t xml:space="preserve"> stosująca najnowsze technologie w oparciu o innowacyjną kulturę korporacyjną, Hankook Tire pragnie przyspieszyć rozwój działalności oraz umocnić swoją wiodącą pozycję w dziedzinie technologii poprzez stworzenie środowiska pracy, które sprzyja innowacji i kreatywności.</w:t>
      </w:r>
      <w:r>
        <w:rPr>
          <w:rFonts w:ascii="Arial" w:hAnsi="Arial"/>
          <w:color w:val="000000" w:themeColor="text1"/>
          <w:kern w:val="0"/>
          <w:sz w:val="24"/>
        </w:rPr>
        <w:t xml:space="preserve"> </w:t>
      </w:r>
    </w:p>
    <w:p w14:paraId="336529D1" w14:textId="7DBCB4DA" w:rsidR="00200EAE" w:rsidRPr="00A133F3" w:rsidRDefault="00696E35" w:rsidP="00A76580">
      <w:pPr>
        <w:widowControl/>
        <w:shd w:val="clear" w:color="auto" w:fill="FFFFFF"/>
        <w:wordWrap/>
        <w:autoSpaceDE/>
        <w:autoSpaceDN/>
        <w:jc w:val="center"/>
        <w:rPr>
          <w:rFonts w:ascii="Times New Roman"/>
          <w:iCs/>
          <w:color w:val="000000" w:themeColor="text1"/>
          <w:kern w:val="0"/>
          <w:sz w:val="21"/>
          <w:szCs w:val="21"/>
        </w:rPr>
      </w:pPr>
      <w:r w:rsidRPr="00A133F3">
        <w:rPr>
          <w:rFonts w:ascii="Times New Roman"/>
          <w:color w:val="000000" w:themeColor="text1"/>
          <w:kern w:val="0"/>
          <w:sz w:val="21"/>
        </w:rPr>
        <w:lastRenderedPageBreak/>
        <w:t>###</w:t>
      </w:r>
    </w:p>
    <w:p w14:paraId="107C2C4A" w14:textId="77777777" w:rsidR="004041F4" w:rsidRPr="00A133F3" w:rsidRDefault="004041F4" w:rsidP="004041F4">
      <w:pPr>
        <w:wordWrap/>
        <w:snapToGrid w:val="0"/>
        <w:spacing w:line="276" w:lineRule="auto"/>
        <w:ind w:rightChars="56" w:right="112" w:firstLineChars="50" w:firstLine="120"/>
        <w:rPr>
          <w:rFonts w:ascii="Arial" w:hAnsi="Arial" w:cs="Arial"/>
          <w:b/>
          <w:kern w:val="0"/>
          <w:sz w:val="24"/>
        </w:rPr>
      </w:pPr>
      <w:r w:rsidRPr="00A133F3">
        <w:rPr>
          <w:rFonts w:ascii="Arial" w:hAnsi="Arial" w:hint="eastAsia"/>
          <w:b/>
          <w:kern w:val="0"/>
          <w:sz w:val="24"/>
        </w:rPr>
        <w:t xml:space="preserve">Q4 </w:t>
      </w:r>
      <w:r w:rsidRPr="00A133F3">
        <w:rPr>
          <w:rFonts w:ascii="Arial" w:hAnsi="Arial"/>
          <w:b/>
          <w:kern w:val="0"/>
          <w:sz w:val="24"/>
        </w:rPr>
        <w:t>201</w:t>
      </w:r>
      <w:r w:rsidRPr="00A133F3">
        <w:rPr>
          <w:rFonts w:ascii="Arial" w:hAnsi="Arial" w:hint="eastAsia"/>
          <w:b/>
          <w:kern w:val="0"/>
          <w:sz w:val="24"/>
        </w:rPr>
        <w:t>6</w:t>
      </w:r>
      <w:r w:rsidRPr="00A133F3">
        <w:rPr>
          <w:rFonts w:ascii="Arial" w:hAnsi="Arial"/>
          <w:b/>
          <w:kern w:val="0"/>
          <w:sz w:val="24"/>
        </w:rPr>
        <w:t xml:space="preserve"> Consolidated Financial Result</w:t>
      </w: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168"/>
        <w:gridCol w:w="2404"/>
        <w:gridCol w:w="2288"/>
        <w:gridCol w:w="2387"/>
      </w:tblGrid>
      <w:tr w:rsidR="004041F4" w:rsidRPr="00A133F3" w14:paraId="6B3480A1" w14:textId="77777777" w:rsidTr="00636C4D">
        <w:trPr>
          <w:trHeight w:val="362"/>
        </w:trPr>
        <w:tc>
          <w:tcPr>
            <w:tcW w:w="2298" w:type="dxa"/>
            <w:tcBorders>
              <w:bottom w:val="double" w:sz="4" w:space="0" w:color="auto"/>
              <w:right w:val="double" w:sz="4" w:space="0" w:color="auto"/>
            </w:tcBorders>
            <w:shd w:val="clear" w:color="auto" w:fill="7F7F7F" w:themeFill="text1" w:themeFillTint="80"/>
            <w:vAlign w:val="center"/>
          </w:tcPr>
          <w:p w14:paraId="06BBC3E4"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b/>
                <w:color w:val="FFFFFF" w:themeColor="background1"/>
                <w:kern w:val="0"/>
              </w:rPr>
              <w:t>(Unit: Billion KRW)</w:t>
            </w:r>
          </w:p>
        </w:tc>
        <w:tc>
          <w:tcPr>
            <w:tcW w:w="2641" w:type="dxa"/>
            <w:tcBorders>
              <w:bottom w:val="double" w:sz="4" w:space="0" w:color="auto"/>
              <w:right w:val="double" w:sz="4" w:space="0" w:color="auto"/>
            </w:tcBorders>
            <w:shd w:val="clear" w:color="auto" w:fill="7F7F7F" w:themeFill="text1" w:themeFillTint="80"/>
            <w:vAlign w:val="center"/>
          </w:tcPr>
          <w:p w14:paraId="6C56AD5C"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hint="eastAsia"/>
                <w:b/>
                <w:color w:val="FFFFFF" w:themeColor="background1"/>
                <w:kern w:val="0"/>
              </w:rPr>
              <w:t xml:space="preserve">Q4 </w:t>
            </w:r>
            <w:r w:rsidRPr="00A133F3">
              <w:rPr>
                <w:rFonts w:ascii="Arial" w:hAnsi="Arial"/>
                <w:b/>
                <w:color w:val="FFFFFF" w:themeColor="background1"/>
                <w:kern w:val="0"/>
              </w:rPr>
              <w:t>FY 201</w:t>
            </w:r>
            <w:r w:rsidRPr="00A133F3">
              <w:rPr>
                <w:rFonts w:ascii="Arial" w:hAnsi="Arial" w:hint="eastAsia"/>
                <w:b/>
                <w:color w:val="FFFFFF" w:themeColor="background1"/>
                <w:kern w:val="0"/>
              </w:rPr>
              <w:t>5</w:t>
            </w:r>
          </w:p>
        </w:tc>
        <w:tc>
          <w:tcPr>
            <w:tcW w:w="2508" w:type="dxa"/>
            <w:tcBorders>
              <w:bottom w:val="double" w:sz="4" w:space="0" w:color="auto"/>
              <w:right w:val="double" w:sz="4" w:space="0" w:color="auto"/>
            </w:tcBorders>
            <w:shd w:val="clear" w:color="auto" w:fill="7F7F7F" w:themeFill="text1" w:themeFillTint="80"/>
            <w:vAlign w:val="center"/>
          </w:tcPr>
          <w:p w14:paraId="544590B7"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hint="eastAsia"/>
                <w:b/>
                <w:color w:val="FFFFFF" w:themeColor="background1"/>
                <w:kern w:val="0"/>
              </w:rPr>
              <w:t xml:space="preserve">Q3 </w:t>
            </w:r>
            <w:r w:rsidRPr="00A133F3">
              <w:rPr>
                <w:rFonts w:ascii="Arial" w:hAnsi="Arial"/>
                <w:b/>
                <w:color w:val="FFFFFF" w:themeColor="background1"/>
                <w:kern w:val="0"/>
              </w:rPr>
              <w:t>FY 201</w:t>
            </w:r>
            <w:r w:rsidRPr="00A133F3">
              <w:rPr>
                <w:rFonts w:ascii="Arial" w:hAnsi="Arial" w:hint="eastAsia"/>
                <w:b/>
                <w:color w:val="FFFFFF" w:themeColor="background1"/>
                <w:kern w:val="0"/>
              </w:rPr>
              <w:t>6</w:t>
            </w:r>
          </w:p>
        </w:tc>
        <w:tc>
          <w:tcPr>
            <w:tcW w:w="2621" w:type="dxa"/>
            <w:tcBorders>
              <w:left w:val="double" w:sz="4" w:space="0" w:color="auto"/>
              <w:bottom w:val="double" w:sz="4" w:space="0" w:color="auto"/>
              <w:right w:val="nil"/>
            </w:tcBorders>
            <w:shd w:val="clear" w:color="auto" w:fill="7F7F7F" w:themeFill="text1" w:themeFillTint="80"/>
            <w:vAlign w:val="center"/>
          </w:tcPr>
          <w:p w14:paraId="0BCDA4B6"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hint="eastAsia"/>
                <w:b/>
                <w:color w:val="FFFFFF" w:themeColor="background1"/>
                <w:kern w:val="0"/>
              </w:rPr>
              <w:t xml:space="preserve">Q4 </w:t>
            </w:r>
            <w:r w:rsidRPr="00A133F3">
              <w:rPr>
                <w:rFonts w:ascii="Arial" w:hAnsi="Arial"/>
                <w:b/>
                <w:color w:val="FFFFFF" w:themeColor="background1"/>
                <w:kern w:val="0"/>
              </w:rPr>
              <w:t>FY 201</w:t>
            </w:r>
            <w:r w:rsidRPr="00A133F3">
              <w:rPr>
                <w:rFonts w:ascii="Arial" w:hAnsi="Arial" w:hint="eastAsia"/>
                <w:b/>
                <w:color w:val="FFFFFF" w:themeColor="background1"/>
                <w:kern w:val="0"/>
              </w:rPr>
              <w:t>6</w:t>
            </w:r>
          </w:p>
        </w:tc>
      </w:tr>
      <w:tr w:rsidR="004041F4" w:rsidRPr="00A133F3" w14:paraId="207FC41D" w14:textId="77777777" w:rsidTr="00636C4D">
        <w:trPr>
          <w:trHeight w:val="362"/>
        </w:trPr>
        <w:tc>
          <w:tcPr>
            <w:tcW w:w="2298" w:type="dxa"/>
            <w:tcBorders>
              <w:top w:val="double" w:sz="4" w:space="0" w:color="auto"/>
              <w:right w:val="double" w:sz="4" w:space="0" w:color="auto"/>
            </w:tcBorders>
            <w:vAlign w:val="center"/>
          </w:tcPr>
          <w:p w14:paraId="58378843" w14:textId="77777777" w:rsidR="004041F4" w:rsidRPr="00A133F3" w:rsidRDefault="004041F4" w:rsidP="00636C4D">
            <w:pPr>
              <w:wordWrap/>
              <w:snapToGrid w:val="0"/>
              <w:ind w:rightChars="56" w:right="112"/>
              <w:jc w:val="center"/>
              <w:rPr>
                <w:rFonts w:ascii="Arial" w:hAnsi="Arial" w:cs="Arial"/>
                <w:b/>
                <w:color w:val="000000" w:themeColor="text1"/>
                <w:kern w:val="0"/>
                <w:szCs w:val="22"/>
              </w:rPr>
            </w:pPr>
            <w:r w:rsidRPr="00A133F3">
              <w:rPr>
                <w:rFonts w:ascii="Arial" w:hAnsi="Arial"/>
                <w:b/>
                <w:color w:val="000000" w:themeColor="text1"/>
                <w:kern w:val="0"/>
              </w:rPr>
              <w:t>Sales</w:t>
            </w:r>
          </w:p>
        </w:tc>
        <w:tc>
          <w:tcPr>
            <w:tcW w:w="2641" w:type="dxa"/>
            <w:tcBorders>
              <w:top w:val="double" w:sz="4" w:space="0" w:color="auto"/>
              <w:right w:val="double" w:sz="4" w:space="0" w:color="auto"/>
            </w:tcBorders>
            <w:shd w:val="clear" w:color="auto" w:fill="auto"/>
          </w:tcPr>
          <w:p w14:paraId="65736235" w14:textId="77777777" w:rsidR="004041F4" w:rsidRPr="00A133F3" w:rsidRDefault="004041F4" w:rsidP="00636C4D">
            <w:pPr>
              <w:jc w:val="center"/>
              <w:rPr>
                <w:rFonts w:ascii="Arial" w:hAnsi="Arial" w:cs="Arial"/>
                <w:b/>
                <w:color w:val="000000" w:themeColor="text1"/>
              </w:rPr>
            </w:pPr>
            <w:r w:rsidRPr="00A133F3">
              <w:rPr>
                <w:rFonts w:ascii="Arial" w:hAnsi="Arial"/>
                <w:b/>
                <w:color w:val="000000" w:themeColor="text1"/>
              </w:rPr>
              <w:t>1,596.5</w:t>
            </w:r>
          </w:p>
        </w:tc>
        <w:tc>
          <w:tcPr>
            <w:tcW w:w="2508" w:type="dxa"/>
            <w:tcBorders>
              <w:top w:val="double" w:sz="4" w:space="0" w:color="auto"/>
              <w:right w:val="double" w:sz="4" w:space="0" w:color="auto"/>
            </w:tcBorders>
            <w:vAlign w:val="center"/>
          </w:tcPr>
          <w:p w14:paraId="168B6C5D" w14:textId="77777777" w:rsidR="004041F4" w:rsidRPr="00A133F3" w:rsidRDefault="004041F4" w:rsidP="00636C4D">
            <w:pPr>
              <w:jc w:val="center"/>
              <w:rPr>
                <w:rFonts w:ascii="Arial" w:hAnsi="Arial" w:cs="Arial"/>
                <w:b/>
                <w:color w:val="000000" w:themeColor="text1"/>
              </w:rPr>
            </w:pPr>
            <w:r w:rsidRPr="00A133F3">
              <w:rPr>
                <w:rFonts w:ascii="Arial" w:hAnsi="Arial"/>
                <w:b/>
                <w:color w:val="000000" w:themeColor="text1"/>
              </w:rPr>
              <w:t>1,657.6</w:t>
            </w:r>
          </w:p>
        </w:tc>
        <w:tc>
          <w:tcPr>
            <w:tcW w:w="2621" w:type="dxa"/>
            <w:tcBorders>
              <w:top w:val="double" w:sz="4" w:space="0" w:color="auto"/>
              <w:left w:val="double" w:sz="4" w:space="0" w:color="auto"/>
              <w:right w:val="nil"/>
            </w:tcBorders>
          </w:tcPr>
          <w:p w14:paraId="7DC8EED8" w14:textId="77777777" w:rsidR="004041F4" w:rsidRPr="00A133F3" w:rsidRDefault="004041F4" w:rsidP="00636C4D">
            <w:pPr>
              <w:jc w:val="center"/>
              <w:rPr>
                <w:rFonts w:ascii="Arial" w:hAnsi="Arial" w:cs="Arial"/>
                <w:b/>
                <w:color w:val="000000" w:themeColor="text1"/>
              </w:rPr>
            </w:pPr>
            <w:r w:rsidRPr="00A133F3">
              <w:rPr>
                <w:rFonts w:ascii="Arial" w:hAnsi="Arial" w:hint="eastAsia"/>
                <w:b/>
                <w:color w:val="000000" w:themeColor="text1"/>
              </w:rPr>
              <w:t>1,</w:t>
            </w:r>
            <w:r w:rsidRPr="00A133F3">
              <w:rPr>
                <w:rFonts w:ascii="Arial" w:hAnsi="Arial"/>
                <w:b/>
                <w:color w:val="000000" w:themeColor="text1"/>
              </w:rPr>
              <w:t>615.0</w:t>
            </w:r>
          </w:p>
        </w:tc>
      </w:tr>
      <w:tr w:rsidR="004041F4" w:rsidRPr="00A133F3" w14:paraId="19C414A8" w14:textId="77777777" w:rsidTr="00636C4D">
        <w:trPr>
          <w:trHeight w:val="362"/>
        </w:trPr>
        <w:tc>
          <w:tcPr>
            <w:tcW w:w="2298" w:type="dxa"/>
            <w:tcBorders>
              <w:right w:val="double" w:sz="4" w:space="0" w:color="auto"/>
            </w:tcBorders>
            <w:vAlign w:val="center"/>
          </w:tcPr>
          <w:p w14:paraId="609358E3" w14:textId="77777777" w:rsidR="004041F4" w:rsidRPr="00A133F3" w:rsidRDefault="004041F4" w:rsidP="00636C4D">
            <w:pPr>
              <w:wordWrap/>
              <w:snapToGrid w:val="0"/>
              <w:ind w:rightChars="56" w:right="112"/>
              <w:jc w:val="center"/>
              <w:rPr>
                <w:rFonts w:ascii="Arial" w:hAnsi="Arial" w:cs="Arial"/>
                <w:b/>
                <w:color w:val="000000" w:themeColor="text1"/>
                <w:kern w:val="0"/>
                <w:szCs w:val="22"/>
              </w:rPr>
            </w:pPr>
            <w:r w:rsidRPr="00A133F3">
              <w:rPr>
                <w:rFonts w:ascii="Arial" w:hAnsi="Arial"/>
                <w:b/>
                <w:color w:val="000000" w:themeColor="text1"/>
                <w:kern w:val="0"/>
              </w:rPr>
              <w:t>Operating Profit</w:t>
            </w:r>
          </w:p>
        </w:tc>
        <w:tc>
          <w:tcPr>
            <w:tcW w:w="2641" w:type="dxa"/>
            <w:tcBorders>
              <w:right w:val="double" w:sz="4" w:space="0" w:color="auto"/>
            </w:tcBorders>
            <w:shd w:val="clear" w:color="auto" w:fill="auto"/>
          </w:tcPr>
          <w:p w14:paraId="0FC5D9D4" w14:textId="77777777" w:rsidR="004041F4" w:rsidRPr="00A133F3" w:rsidRDefault="004041F4" w:rsidP="00636C4D">
            <w:pPr>
              <w:jc w:val="center"/>
              <w:rPr>
                <w:rFonts w:ascii="Arial" w:hAnsi="Arial" w:cs="Arial"/>
                <w:b/>
                <w:color w:val="000000" w:themeColor="text1"/>
              </w:rPr>
            </w:pPr>
            <w:r w:rsidRPr="00A133F3">
              <w:rPr>
                <w:rFonts w:ascii="Arial" w:hAnsi="Arial"/>
                <w:b/>
                <w:color w:val="000000" w:themeColor="text1"/>
              </w:rPr>
              <w:t>239.1</w:t>
            </w:r>
          </w:p>
        </w:tc>
        <w:tc>
          <w:tcPr>
            <w:tcW w:w="2508" w:type="dxa"/>
            <w:tcBorders>
              <w:right w:val="double" w:sz="4" w:space="0" w:color="auto"/>
            </w:tcBorders>
            <w:vAlign w:val="center"/>
          </w:tcPr>
          <w:p w14:paraId="344259EE" w14:textId="77777777" w:rsidR="004041F4" w:rsidRPr="00A133F3" w:rsidRDefault="004041F4" w:rsidP="00636C4D">
            <w:pPr>
              <w:jc w:val="center"/>
              <w:rPr>
                <w:rFonts w:ascii="Arial" w:hAnsi="Arial" w:cs="Arial"/>
                <w:b/>
                <w:color w:val="000000" w:themeColor="text1"/>
              </w:rPr>
            </w:pPr>
            <w:r w:rsidRPr="00A133F3">
              <w:rPr>
                <w:rFonts w:ascii="Arial" w:hAnsi="Arial"/>
                <w:b/>
                <w:color w:val="000000" w:themeColor="text1"/>
              </w:rPr>
              <w:t>302.6</w:t>
            </w:r>
          </w:p>
        </w:tc>
        <w:tc>
          <w:tcPr>
            <w:tcW w:w="2621" w:type="dxa"/>
            <w:tcBorders>
              <w:left w:val="double" w:sz="4" w:space="0" w:color="auto"/>
              <w:right w:val="nil"/>
            </w:tcBorders>
          </w:tcPr>
          <w:p w14:paraId="7080D6F9" w14:textId="77777777" w:rsidR="004041F4" w:rsidRPr="00A133F3" w:rsidRDefault="004041F4" w:rsidP="00636C4D">
            <w:pPr>
              <w:jc w:val="center"/>
              <w:rPr>
                <w:rFonts w:ascii="Arial" w:hAnsi="Arial" w:cs="Arial"/>
                <w:b/>
                <w:color w:val="000000" w:themeColor="text1"/>
              </w:rPr>
            </w:pPr>
            <w:r w:rsidRPr="00A133F3">
              <w:rPr>
                <w:rFonts w:ascii="Arial" w:hAnsi="Arial" w:hint="eastAsia"/>
                <w:b/>
                <w:color w:val="000000" w:themeColor="text1"/>
              </w:rPr>
              <w:t>2</w:t>
            </w:r>
            <w:r w:rsidRPr="00A133F3">
              <w:rPr>
                <w:rFonts w:ascii="Arial" w:hAnsi="Arial"/>
                <w:b/>
                <w:color w:val="000000" w:themeColor="text1"/>
              </w:rPr>
              <w:t>39</w:t>
            </w:r>
            <w:r w:rsidRPr="00A133F3">
              <w:rPr>
                <w:rFonts w:ascii="Arial" w:hAnsi="Arial" w:hint="eastAsia"/>
                <w:b/>
                <w:color w:val="000000" w:themeColor="text1"/>
              </w:rPr>
              <w:t>.</w:t>
            </w:r>
            <w:r w:rsidRPr="00A133F3">
              <w:rPr>
                <w:rFonts w:ascii="Arial" w:hAnsi="Arial"/>
                <w:b/>
                <w:color w:val="000000" w:themeColor="text1"/>
              </w:rPr>
              <w:t>8</w:t>
            </w:r>
          </w:p>
        </w:tc>
      </w:tr>
    </w:tbl>
    <w:p w14:paraId="125930CC" w14:textId="77777777" w:rsidR="004041F4" w:rsidRPr="00A133F3" w:rsidRDefault="004041F4" w:rsidP="004041F4">
      <w:pPr>
        <w:rPr>
          <w:rFonts w:ascii="Arial" w:hAnsi="Arial" w:cs="Arial"/>
          <w:color w:val="000000" w:themeColor="text1"/>
          <w:sz w:val="22"/>
          <w:szCs w:val="22"/>
        </w:rPr>
      </w:pP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165"/>
        <w:gridCol w:w="2391"/>
        <w:gridCol w:w="2299"/>
        <w:gridCol w:w="2392"/>
      </w:tblGrid>
      <w:tr w:rsidR="004041F4" w:rsidRPr="00A133F3" w14:paraId="08066E2F" w14:textId="77777777" w:rsidTr="00636C4D">
        <w:trPr>
          <w:trHeight w:val="363"/>
        </w:trPr>
        <w:tc>
          <w:tcPr>
            <w:tcW w:w="2295" w:type="dxa"/>
            <w:tcBorders>
              <w:bottom w:val="double" w:sz="4" w:space="0" w:color="auto"/>
              <w:right w:val="double" w:sz="4" w:space="0" w:color="auto"/>
            </w:tcBorders>
            <w:shd w:val="clear" w:color="auto" w:fill="7F7F7F" w:themeFill="text1" w:themeFillTint="80"/>
            <w:vAlign w:val="center"/>
          </w:tcPr>
          <w:p w14:paraId="02B1CBB1"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b/>
                <w:color w:val="FFFFFF" w:themeColor="background1"/>
                <w:kern w:val="0"/>
              </w:rPr>
              <w:t>(Unit: Million USD)</w:t>
            </w:r>
          </w:p>
        </w:tc>
        <w:tc>
          <w:tcPr>
            <w:tcW w:w="2626" w:type="dxa"/>
            <w:tcBorders>
              <w:left w:val="double" w:sz="4" w:space="0" w:color="auto"/>
              <w:bottom w:val="double" w:sz="4" w:space="0" w:color="auto"/>
              <w:right w:val="double" w:sz="4" w:space="0" w:color="auto"/>
            </w:tcBorders>
            <w:shd w:val="clear" w:color="auto" w:fill="7F7F7F" w:themeFill="text1" w:themeFillTint="80"/>
            <w:vAlign w:val="center"/>
          </w:tcPr>
          <w:p w14:paraId="79E00702"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hint="eastAsia"/>
                <w:b/>
                <w:color w:val="FFFFFF" w:themeColor="background1"/>
                <w:kern w:val="0"/>
              </w:rPr>
              <w:t xml:space="preserve">Q4 </w:t>
            </w:r>
            <w:r w:rsidRPr="00A133F3">
              <w:rPr>
                <w:rFonts w:ascii="Arial" w:hAnsi="Arial"/>
                <w:b/>
                <w:color w:val="FFFFFF" w:themeColor="background1"/>
                <w:kern w:val="0"/>
              </w:rPr>
              <w:t>FY 201</w:t>
            </w:r>
            <w:r w:rsidRPr="00A133F3">
              <w:rPr>
                <w:rFonts w:ascii="Arial" w:hAnsi="Arial" w:hint="eastAsia"/>
                <w:b/>
                <w:color w:val="FFFFFF" w:themeColor="background1"/>
                <w:kern w:val="0"/>
              </w:rPr>
              <w:t>5</w:t>
            </w:r>
          </w:p>
        </w:tc>
        <w:tc>
          <w:tcPr>
            <w:tcW w:w="2520" w:type="dxa"/>
            <w:tcBorders>
              <w:left w:val="double" w:sz="4" w:space="0" w:color="auto"/>
              <w:bottom w:val="double" w:sz="4" w:space="0" w:color="auto"/>
              <w:right w:val="double" w:sz="4" w:space="0" w:color="auto"/>
            </w:tcBorders>
            <w:shd w:val="clear" w:color="auto" w:fill="7F7F7F" w:themeFill="text1" w:themeFillTint="80"/>
            <w:vAlign w:val="center"/>
          </w:tcPr>
          <w:p w14:paraId="2279E366"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hint="eastAsia"/>
                <w:b/>
                <w:color w:val="FFFFFF" w:themeColor="background1"/>
                <w:kern w:val="0"/>
              </w:rPr>
              <w:t xml:space="preserve">Q3 </w:t>
            </w:r>
            <w:r w:rsidRPr="00A133F3">
              <w:rPr>
                <w:rFonts w:ascii="Arial" w:hAnsi="Arial"/>
                <w:b/>
                <w:color w:val="FFFFFF" w:themeColor="background1"/>
                <w:kern w:val="0"/>
              </w:rPr>
              <w:t>FY 201</w:t>
            </w:r>
            <w:r w:rsidRPr="00A133F3">
              <w:rPr>
                <w:rFonts w:ascii="Arial" w:hAnsi="Arial" w:hint="eastAsia"/>
                <w:b/>
                <w:color w:val="FFFFFF" w:themeColor="background1"/>
                <w:kern w:val="0"/>
              </w:rPr>
              <w:t>6</w:t>
            </w:r>
          </w:p>
        </w:tc>
        <w:tc>
          <w:tcPr>
            <w:tcW w:w="2627" w:type="dxa"/>
            <w:tcBorders>
              <w:left w:val="double" w:sz="4" w:space="0" w:color="auto"/>
              <w:bottom w:val="double" w:sz="4" w:space="0" w:color="auto"/>
              <w:right w:val="nil"/>
            </w:tcBorders>
            <w:shd w:val="clear" w:color="auto" w:fill="7F7F7F" w:themeFill="text1" w:themeFillTint="80"/>
            <w:vAlign w:val="center"/>
          </w:tcPr>
          <w:p w14:paraId="39157A6D"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hint="eastAsia"/>
                <w:b/>
                <w:color w:val="FFFFFF" w:themeColor="background1"/>
                <w:kern w:val="0"/>
              </w:rPr>
              <w:t xml:space="preserve">Q4 </w:t>
            </w:r>
            <w:r w:rsidRPr="00A133F3">
              <w:rPr>
                <w:rFonts w:ascii="Arial" w:hAnsi="Arial"/>
                <w:b/>
                <w:color w:val="FFFFFF" w:themeColor="background1"/>
                <w:kern w:val="0"/>
              </w:rPr>
              <w:t>FY 201</w:t>
            </w:r>
            <w:r w:rsidRPr="00A133F3">
              <w:rPr>
                <w:rFonts w:ascii="Arial" w:hAnsi="Arial" w:hint="eastAsia"/>
                <w:b/>
                <w:color w:val="FFFFFF" w:themeColor="background1"/>
                <w:kern w:val="0"/>
              </w:rPr>
              <w:t>6</w:t>
            </w:r>
          </w:p>
        </w:tc>
      </w:tr>
      <w:tr w:rsidR="004041F4" w:rsidRPr="00A133F3" w14:paraId="4DE9BE9B" w14:textId="77777777" w:rsidTr="00636C4D">
        <w:trPr>
          <w:trHeight w:val="363"/>
        </w:trPr>
        <w:tc>
          <w:tcPr>
            <w:tcW w:w="2295" w:type="dxa"/>
            <w:tcBorders>
              <w:top w:val="double" w:sz="4" w:space="0" w:color="auto"/>
              <w:bottom w:val="single" w:sz="4" w:space="0" w:color="auto"/>
              <w:right w:val="double" w:sz="4" w:space="0" w:color="auto"/>
            </w:tcBorders>
            <w:vAlign w:val="center"/>
          </w:tcPr>
          <w:p w14:paraId="79BDB898" w14:textId="77777777" w:rsidR="004041F4" w:rsidRPr="00A133F3" w:rsidRDefault="004041F4" w:rsidP="00636C4D">
            <w:pPr>
              <w:wordWrap/>
              <w:snapToGrid w:val="0"/>
              <w:ind w:rightChars="56" w:right="112"/>
              <w:jc w:val="center"/>
              <w:rPr>
                <w:rFonts w:ascii="Arial" w:hAnsi="Arial" w:cs="Arial"/>
                <w:b/>
                <w:color w:val="000000" w:themeColor="text1"/>
                <w:kern w:val="0"/>
                <w:szCs w:val="22"/>
              </w:rPr>
            </w:pPr>
            <w:r w:rsidRPr="00A133F3">
              <w:rPr>
                <w:rFonts w:ascii="Arial" w:hAnsi="Arial"/>
                <w:b/>
                <w:color w:val="000000" w:themeColor="text1"/>
                <w:kern w:val="0"/>
              </w:rPr>
              <w:t>Sales</w:t>
            </w:r>
          </w:p>
        </w:tc>
        <w:tc>
          <w:tcPr>
            <w:tcW w:w="2626" w:type="dxa"/>
            <w:tcBorders>
              <w:top w:val="double" w:sz="4" w:space="0" w:color="auto"/>
              <w:left w:val="double" w:sz="4" w:space="0" w:color="auto"/>
              <w:bottom w:val="single" w:sz="4" w:space="0" w:color="auto"/>
              <w:right w:val="double" w:sz="4" w:space="0" w:color="auto"/>
            </w:tcBorders>
            <w:shd w:val="clear" w:color="auto" w:fill="auto"/>
          </w:tcPr>
          <w:p w14:paraId="7E5F8FE8" w14:textId="77777777" w:rsidR="004041F4" w:rsidRPr="00A133F3" w:rsidRDefault="004041F4" w:rsidP="00636C4D">
            <w:pPr>
              <w:jc w:val="center"/>
              <w:rPr>
                <w:rFonts w:ascii="Arial" w:hAnsi="Arial" w:cs="Arial"/>
                <w:b/>
                <w:color w:val="000000" w:themeColor="text1"/>
                <w:szCs w:val="22"/>
              </w:rPr>
            </w:pPr>
            <w:r w:rsidRPr="00A133F3">
              <w:rPr>
                <w:rFonts w:ascii="Arial" w:hAnsi="Arial"/>
                <w:b/>
                <w:color w:val="000000" w:themeColor="text1"/>
              </w:rPr>
              <w:t>1,379</w:t>
            </w:r>
          </w:p>
        </w:tc>
        <w:tc>
          <w:tcPr>
            <w:tcW w:w="2520" w:type="dxa"/>
            <w:tcBorders>
              <w:top w:val="double" w:sz="4" w:space="0" w:color="auto"/>
              <w:left w:val="double" w:sz="4" w:space="0" w:color="auto"/>
              <w:bottom w:val="single" w:sz="4" w:space="0" w:color="auto"/>
              <w:right w:val="double" w:sz="4" w:space="0" w:color="auto"/>
            </w:tcBorders>
            <w:vAlign w:val="center"/>
          </w:tcPr>
          <w:p w14:paraId="3320BEAE" w14:textId="77777777" w:rsidR="004041F4" w:rsidRPr="00A133F3" w:rsidRDefault="004041F4" w:rsidP="00636C4D">
            <w:pPr>
              <w:jc w:val="center"/>
              <w:rPr>
                <w:rFonts w:ascii="Arial" w:hAnsi="Arial" w:cs="Arial"/>
                <w:b/>
                <w:color w:val="000000" w:themeColor="text1"/>
                <w:szCs w:val="22"/>
              </w:rPr>
            </w:pPr>
            <w:r w:rsidRPr="00A133F3">
              <w:rPr>
                <w:rFonts w:ascii="Arial" w:hAnsi="Arial"/>
                <w:b/>
                <w:color w:val="000000" w:themeColor="text1"/>
              </w:rPr>
              <w:t>1,478.1</w:t>
            </w:r>
          </w:p>
        </w:tc>
        <w:tc>
          <w:tcPr>
            <w:tcW w:w="2627" w:type="dxa"/>
            <w:tcBorders>
              <w:top w:val="double" w:sz="4" w:space="0" w:color="auto"/>
              <w:left w:val="double" w:sz="4" w:space="0" w:color="auto"/>
              <w:bottom w:val="single" w:sz="4" w:space="0" w:color="auto"/>
              <w:right w:val="nil"/>
            </w:tcBorders>
            <w:shd w:val="clear" w:color="auto" w:fill="FFFFFF" w:themeFill="background1"/>
          </w:tcPr>
          <w:p w14:paraId="0A3FD562" w14:textId="77777777" w:rsidR="004041F4" w:rsidRPr="00A133F3" w:rsidRDefault="004041F4" w:rsidP="00636C4D">
            <w:pPr>
              <w:jc w:val="center"/>
              <w:rPr>
                <w:rFonts w:ascii="Arial" w:hAnsi="Arial" w:cs="Arial"/>
                <w:b/>
                <w:color w:val="000000" w:themeColor="text1"/>
                <w:szCs w:val="22"/>
              </w:rPr>
            </w:pPr>
            <w:r w:rsidRPr="00A133F3">
              <w:rPr>
                <w:rFonts w:ascii="Arial" w:hAnsi="Arial" w:hint="eastAsia"/>
                <w:b/>
                <w:color w:val="000000" w:themeColor="text1"/>
              </w:rPr>
              <w:t>1,</w:t>
            </w:r>
            <w:r w:rsidRPr="00A133F3">
              <w:rPr>
                <w:rFonts w:ascii="Arial" w:hAnsi="Arial"/>
                <w:b/>
                <w:color w:val="000000" w:themeColor="text1"/>
              </w:rPr>
              <w:t>395</w:t>
            </w:r>
            <w:r w:rsidRPr="00A133F3">
              <w:rPr>
                <w:rFonts w:ascii="Arial" w:hAnsi="Arial" w:hint="eastAsia"/>
                <w:b/>
                <w:color w:val="000000" w:themeColor="text1"/>
              </w:rPr>
              <w:t>.</w:t>
            </w:r>
            <w:r w:rsidRPr="00A133F3">
              <w:rPr>
                <w:rFonts w:ascii="Arial" w:hAnsi="Arial"/>
                <w:b/>
                <w:color w:val="000000" w:themeColor="text1"/>
              </w:rPr>
              <w:t>4</w:t>
            </w:r>
          </w:p>
        </w:tc>
      </w:tr>
      <w:tr w:rsidR="004041F4" w:rsidRPr="00A133F3" w14:paraId="5F341759" w14:textId="77777777" w:rsidTr="00636C4D">
        <w:trPr>
          <w:trHeight w:val="363"/>
        </w:trPr>
        <w:tc>
          <w:tcPr>
            <w:tcW w:w="2295" w:type="dxa"/>
            <w:tcBorders>
              <w:bottom w:val="single" w:sz="4" w:space="0" w:color="auto"/>
              <w:right w:val="double" w:sz="4" w:space="0" w:color="auto"/>
            </w:tcBorders>
            <w:vAlign w:val="center"/>
          </w:tcPr>
          <w:p w14:paraId="1B422E61" w14:textId="77777777" w:rsidR="004041F4" w:rsidRPr="00A133F3" w:rsidRDefault="004041F4" w:rsidP="00636C4D">
            <w:pPr>
              <w:wordWrap/>
              <w:snapToGrid w:val="0"/>
              <w:ind w:rightChars="56" w:right="112"/>
              <w:jc w:val="center"/>
              <w:rPr>
                <w:rFonts w:ascii="Arial" w:hAnsi="Arial" w:cs="Arial"/>
                <w:b/>
                <w:color w:val="000000" w:themeColor="text1"/>
                <w:kern w:val="0"/>
                <w:szCs w:val="22"/>
              </w:rPr>
            </w:pPr>
            <w:r w:rsidRPr="00A133F3">
              <w:rPr>
                <w:rFonts w:ascii="Arial" w:hAnsi="Arial"/>
                <w:b/>
                <w:color w:val="000000" w:themeColor="text1"/>
                <w:kern w:val="0"/>
              </w:rPr>
              <w:t>Operating Profit</w:t>
            </w:r>
          </w:p>
        </w:tc>
        <w:tc>
          <w:tcPr>
            <w:tcW w:w="2626" w:type="dxa"/>
            <w:tcBorders>
              <w:left w:val="double" w:sz="4" w:space="0" w:color="auto"/>
              <w:bottom w:val="single" w:sz="4" w:space="0" w:color="auto"/>
              <w:right w:val="double" w:sz="4" w:space="0" w:color="auto"/>
            </w:tcBorders>
            <w:shd w:val="clear" w:color="auto" w:fill="auto"/>
          </w:tcPr>
          <w:p w14:paraId="54FA128F" w14:textId="77777777" w:rsidR="004041F4" w:rsidRPr="00A133F3" w:rsidRDefault="004041F4" w:rsidP="00636C4D">
            <w:pPr>
              <w:jc w:val="center"/>
              <w:rPr>
                <w:rFonts w:ascii="Arial" w:hAnsi="Arial" w:cs="Arial"/>
                <w:b/>
                <w:color w:val="000000" w:themeColor="text1"/>
                <w:kern w:val="0"/>
                <w:szCs w:val="22"/>
              </w:rPr>
            </w:pPr>
            <w:r w:rsidRPr="00A133F3">
              <w:rPr>
                <w:rFonts w:ascii="Arial" w:hAnsi="Arial"/>
                <w:b/>
                <w:color w:val="000000" w:themeColor="text1"/>
              </w:rPr>
              <w:t>206.5</w:t>
            </w:r>
          </w:p>
        </w:tc>
        <w:tc>
          <w:tcPr>
            <w:tcW w:w="2520" w:type="dxa"/>
            <w:tcBorders>
              <w:left w:val="double" w:sz="4" w:space="0" w:color="auto"/>
              <w:bottom w:val="single" w:sz="4" w:space="0" w:color="auto"/>
              <w:right w:val="double" w:sz="4" w:space="0" w:color="auto"/>
            </w:tcBorders>
            <w:vAlign w:val="center"/>
          </w:tcPr>
          <w:p w14:paraId="18A6D131" w14:textId="77777777" w:rsidR="004041F4" w:rsidRPr="00A133F3" w:rsidRDefault="004041F4" w:rsidP="00636C4D">
            <w:pPr>
              <w:jc w:val="center"/>
              <w:rPr>
                <w:rFonts w:ascii="Arial" w:hAnsi="Arial" w:cs="Arial"/>
                <w:b/>
                <w:color w:val="000000" w:themeColor="text1"/>
                <w:szCs w:val="22"/>
              </w:rPr>
            </w:pPr>
            <w:r w:rsidRPr="00A133F3">
              <w:rPr>
                <w:rFonts w:ascii="Arial" w:hAnsi="Arial"/>
                <w:b/>
                <w:color w:val="000000" w:themeColor="text1"/>
              </w:rPr>
              <w:t>269.8</w:t>
            </w:r>
          </w:p>
        </w:tc>
        <w:tc>
          <w:tcPr>
            <w:tcW w:w="2627" w:type="dxa"/>
            <w:tcBorders>
              <w:left w:val="double" w:sz="4" w:space="0" w:color="auto"/>
              <w:bottom w:val="single" w:sz="4" w:space="0" w:color="auto"/>
              <w:right w:val="nil"/>
            </w:tcBorders>
            <w:shd w:val="clear" w:color="auto" w:fill="FFFFFF" w:themeFill="background1"/>
          </w:tcPr>
          <w:p w14:paraId="52B40517" w14:textId="77777777" w:rsidR="004041F4" w:rsidRPr="00A133F3" w:rsidRDefault="004041F4" w:rsidP="00636C4D">
            <w:pPr>
              <w:jc w:val="center"/>
              <w:rPr>
                <w:rFonts w:ascii="Arial" w:hAnsi="Arial" w:cs="Arial"/>
                <w:b/>
                <w:color w:val="000000" w:themeColor="text1"/>
                <w:kern w:val="0"/>
                <w:szCs w:val="22"/>
              </w:rPr>
            </w:pPr>
            <w:r w:rsidRPr="00A133F3">
              <w:rPr>
                <w:rFonts w:ascii="Arial" w:hAnsi="Arial" w:hint="eastAsia"/>
                <w:b/>
                <w:color w:val="000000" w:themeColor="text1"/>
                <w:kern w:val="0"/>
              </w:rPr>
              <w:t>2</w:t>
            </w:r>
            <w:r w:rsidRPr="00A133F3">
              <w:rPr>
                <w:rFonts w:ascii="Arial" w:hAnsi="Arial"/>
                <w:b/>
                <w:color w:val="000000" w:themeColor="text1"/>
                <w:kern w:val="0"/>
              </w:rPr>
              <w:t>07</w:t>
            </w:r>
            <w:r w:rsidRPr="00A133F3">
              <w:rPr>
                <w:rFonts w:ascii="Arial" w:hAnsi="Arial" w:hint="eastAsia"/>
                <w:b/>
                <w:color w:val="000000" w:themeColor="text1"/>
                <w:kern w:val="0"/>
              </w:rPr>
              <w:t>.1</w:t>
            </w:r>
          </w:p>
        </w:tc>
      </w:tr>
      <w:tr w:rsidR="004041F4" w:rsidRPr="00A133F3" w14:paraId="2F25BB7C" w14:textId="77777777" w:rsidTr="00636C4D">
        <w:trPr>
          <w:trHeight w:val="363"/>
        </w:trPr>
        <w:tc>
          <w:tcPr>
            <w:tcW w:w="2295" w:type="dxa"/>
            <w:tcBorders>
              <w:top w:val="single" w:sz="4" w:space="0" w:color="auto"/>
              <w:bottom w:val="nil"/>
              <w:right w:val="nil"/>
            </w:tcBorders>
            <w:shd w:val="clear" w:color="auto" w:fill="FFFFFF" w:themeFill="background1"/>
            <w:vAlign w:val="center"/>
          </w:tcPr>
          <w:p w14:paraId="6C70A2EC" w14:textId="77777777" w:rsidR="004041F4" w:rsidRPr="00A133F3" w:rsidRDefault="004041F4" w:rsidP="00636C4D">
            <w:pPr>
              <w:wordWrap/>
              <w:snapToGrid w:val="0"/>
              <w:ind w:rightChars="56" w:right="112"/>
              <w:jc w:val="center"/>
              <w:rPr>
                <w:rFonts w:ascii="Arial" w:hAnsi="Arial" w:cs="Arial"/>
                <w:b/>
                <w:color w:val="000000" w:themeColor="text1"/>
                <w:kern w:val="0"/>
                <w:sz w:val="22"/>
                <w:szCs w:val="22"/>
              </w:rPr>
            </w:pPr>
          </w:p>
        </w:tc>
        <w:tc>
          <w:tcPr>
            <w:tcW w:w="2626" w:type="dxa"/>
            <w:tcBorders>
              <w:top w:val="single" w:sz="4" w:space="0" w:color="auto"/>
              <w:left w:val="nil"/>
              <w:bottom w:val="nil"/>
              <w:right w:val="nil"/>
            </w:tcBorders>
            <w:shd w:val="clear" w:color="auto" w:fill="FFFFFF" w:themeFill="background1"/>
            <w:vAlign w:val="center"/>
          </w:tcPr>
          <w:p w14:paraId="38271FA9" w14:textId="77777777" w:rsidR="004041F4" w:rsidRPr="00A133F3" w:rsidRDefault="004041F4" w:rsidP="00636C4D">
            <w:pPr>
              <w:wordWrap/>
              <w:snapToGrid w:val="0"/>
              <w:ind w:rightChars="56" w:right="112"/>
              <w:jc w:val="center"/>
              <w:rPr>
                <w:rFonts w:ascii="Arial" w:hAnsi="Arial" w:cs="Arial"/>
                <w:b/>
                <w:color w:val="000000" w:themeColor="text1"/>
                <w:kern w:val="0"/>
                <w:sz w:val="22"/>
                <w:szCs w:val="22"/>
              </w:rPr>
            </w:pPr>
          </w:p>
        </w:tc>
        <w:tc>
          <w:tcPr>
            <w:tcW w:w="2520" w:type="dxa"/>
            <w:tcBorders>
              <w:top w:val="single" w:sz="4" w:space="0" w:color="auto"/>
              <w:left w:val="nil"/>
              <w:bottom w:val="nil"/>
              <w:right w:val="nil"/>
            </w:tcBorders>
            <w:shd w:val="clear" w:color="auto" w:fill="FFFFFF" w:themeFill="background1"/>
            <w:vAlign w:val="center"/>
          </w:tcPr>
          <w:p w14:paraId="4FF66DD6" w14:textId="77777777" w:rsidR="004041F4" w:rsidRPr="00A133F3" w:rsidRDefault="004041F4" w:rsidP="00636C4D">
            <w:pPr>
              <w:wordWrap/>
              <w:snapToGrid w:val="0"/>
              <w:ind w:rightChars="56" w:right="112"/>
              <w:jc w:val="center"/>
              <w:rPr>
                <w:rFonts w:ascii="Arial" w:hAnsi="Arial" w:cs="Arial"/>
                <w:b/>
                <w:kern w:val="0"/>
                <w:sz w:val="22"/>
                <w:szCs w:val="22"/>
              </w:rPr>
            </w:pPr>
          </w:p>
        </w:tc>
        <w:tc>
          <w:tcPr>
            <w:tcW w:w="2627" w:type="dxa"/>
            <w:tcBorders>
              <w:top w:val="single" w:sz="4" w:space="0" w:color="auto"/>
              <w:left w:val="nil"/>
              <w:bottom w:val="nil"/>
              <w:right w:val="nil"/>
            </w:tcBorders>
            <w:shd w:val="clear" w:color="auto" w:fill="FFFFFF" w:themeFill="background1"/>
            <w:vAlign w:val="center"/>
          </w:tcPr>
          <w:p w14:paraId="3BE0839C" w14:textId="77777777" w:rsidR="004041F4" w:rsidRPr="00A133F3" w:rsidRDefault="004041F4" w:rsidP="00636C4D">
            <w:pPr>
              <w:wordWrap/>
              <w:snapToGrid w:val="0"/>
              <w:ind w:rightChars="56" w:right="112"/>
              <w:jc w:val="center"/>
              <w:rPr>
                <w:rFonts w:ascii="Arial" w:hAnsi="Arial" w:cs="Arial"/>
                <w:b/>
                <w:color w:val="000000" w:themeColor="text1"/>
                <w:kern w:val="0"/>
                <w:sz w:val="22"/>
                <w:szCs w:val="22"/>
              </w:rPr>
            </w:pPr>
          </w:p>
        </w:tc>
      </w:tr>
      <w:tr w:rsidR="004041F4" w:rsidRPr="00A133F3" w14:paraId="4DD45440" w14:textId="77777777" w:rsidTr="00636C4D">
        <w:trPr>
          <w:trHeight w:val="363"/>
        </w:trPr>
        <w:tc>
          <w:tcPr>
            <w:tcW w:w="2295" w:type="dxa"/>
            <w:tcBorders>
              <w:top w:val="nil"/>
              <w:bottom w:val="double" w:sz="4" w:space="0" w:color="auto"/>
              <w:right w:val="double" w:sz="4" w:space="0" w:color="auto"/>
            </w:tcBorders>
            <w:shd w:val="clear" w:color="auto" w:fill="7F7F7F" w:themeFill="text1" w:themeFillTint="80"/>
            <w:vAlign w:val="center"/>
          </w:tcPr>
          <w:p w14:paraId="55964648"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b/>
                <w:color w:val="FFFFFF" w:themeColor="background1"/>
                <w:kern w:val="0"/>
              </w:rPr>
              <w:t>(Unit: Million EUR)</w:t>
            </w:r>
          </w:p>
        </w:tc>
        <w:tc>
          <w:tcPr>
            <w:tcW w:w="2626" w:type="dxa"/>
            <w:tcBorders>
              <w:top w:val="nil"/>
              <w:left w:val="double" w:sz="4" w:space="0" w:color="auto"/>
              <w:bottom w:val="double" w:sz="4" w:space="0" w:color="auto"/>
              <w:right w:val="double" w:sz="4" w:space="0" w:color="auto"/>
            </w:tcBorders>
            <w:shd w:val="clear" w:color="auto" w:fill="7F7F7F" w:themeFill="text1" w:themeFillTint="80"/>
            <w:vAlign w:val="center"/>
          </w:tcPr>
          <w:p w14:paraId="011327E1"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hint="eastAsia"/>
                <w:b/>
                <w:color w:val="FFFFFF" w:themeColor="background1"/>
                <w:kern w:val="0"/>
              </w:rPr>
              <w:t xml:space="preserve">Q4 </w:t>
            </w:r>
            <w:r w:rsidRPr="00A133F3">
              <w:rPr>
                <w:rFonts w:ascii="Arial" w:hAnsi="Arial"/>
                <w:b/>
                <w:color w:val="FFFFFF" w:themeColor="background1"/>
                <w:kern w:val="0"/>
              </w:rPr>
              <w:t>FY 201</w:t>
            </w:r>
            <w:r w:rsidRPr="00A133F3">
              <w:rPr>
                <w:rFonts w:ascii="Arial" w:hAnsi="Arial" w:hint="eastAsia"/>
                <w:b/>
                <w:color w:val="FFFFFF" w:themeColor="background1"/>
                <w:kern w:val="0"/>
              </w:rPr>
              <w:t>5</w:t>
            </w:r>
          </w:p>
        </w:tc>
        <w:tc>
          <w:tcPr>
            <w:tcW w:w="2520" w:type="dxa"/>
            <w:tcBorders>
              <w:top w:val="nil"/>
              <w:left w:val="double" w:sz="4" w:space="0" w:color="auto"/>
              <w:bottom w:val="double" w:sz="4" w:space="0" w:color="auto"/>
              <w:right w:val="double" w:sz="4" w:space="0" w:color="auto"/>
            </w:tcBorders>
            <w:shd w:val="clear" w:color="auto" w:fill="7F7F7F" w:themeFill="text1" w:themeFillTint="80"/>
            <w:vAlign w:val="center"/>
          </w:tcPr>
          <w:p w14:paraId="56ED8F8B"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hint="eastAsia"/>
                <w:b/>
                <w:color w:val="FFFFFF" w:themeColor="background1"/>
                <w:kern w:val="0"/>
              </w:rPr>
              <w:t xml:space="preserve">Q3 </w:t>
            </w:r>
            <w:r w:rsidRPr="00A133F3">
              <w:rPr>
                <w:rFonts w:ascii="Arial" w:hAnsi="Arial"/>
                <w:b/>
                <w:color w:val="FFFFFF" w:themeColor="background1"/>
                <w:kern w:val="0"/>
              </w:rPr>
              <w:t>FY 201</w:t>
            </w:r>
            <w:r w:rsidRPr="00A133F3">
              <w:rPr>
                <w:rFonts w:ascii="Arial" w:hAnsi="Arial" w:hint="eastAsia"/>
                <w:b/>
                <w:color w:val="FFFFFF" w:themeColor="background1"/>
                <w:kern w:val="0"/>
              </w:rPr>
              <w:t>6</w:t>
            </w:r>
          </w:p>
        </w:tc>
        <w:tc>
          <w:tcPr>
            <w:tcW w:w="2627" w:type="dxa"/>
            <w:tcBorders>
              <w:top w:val="nil"/>
              <w:left w:val="double" w:sz="4" w:space="0" w:color="auto"/>
              <w:bottom w:val="double" w:sz="4" w:space="0" w:color="auto"/>
              <w:right w:val="nil"/>
            </w:tcBorders>
            <w:shd w:val="clear" w:color="auto" w:fill="7F7F7F" w:themeFill="text1" w:themeFillTint="80"/>
            <w:vAlign w:val="center"/>
          </w:tcPr>
          <w:p w14:paraId="72A8B929"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hint="eastAsia"/>
                <w:b/>
                <w:color w:val="FFFFFF" w:themeColor="background1"/>
                <w:kern w:val="0"/>
              </w:rPr>
              <w:t xml:space="preserve">Q4 </w:t>
            </w:r>
            <w:r w:rsidRPr="00A133F3">
              <w:rPr>
                <w:rFonts w:ascii="Arial" w:hAnsi="Arial"/>
                <w:b/>
                <w:color w:val="FFFFFF" w:themeColor="background1"/>
                <w:kern w:val="0"/>
              </w:rPr>
              <w:t>FY 201</w:t>
            </w:r>
            <w:r w:rsidRPr="00A133F3">
              <w:rPr>
                <w:rFonts w:ascii="Arial" w:hAnsi="Arial" w:hint="eastAsia"/>
                <w:b/>
                <w:color w:val="FFFFFF" w:themeColor="background1"/>
                <w:kern w:val="0"/>
              </w:rPr>
              <w:t>6</w:t>
            </w:r>
          </w:p>
        </w:tc>
      </w:tr>
      <w:tr w:rsidR="004041F4" w:rsidRPr="00A133F3" w14:paraId="6A942ED0" w14:textId="77777777" w:rsidTr="00636C4D">
        <w:trPr>
          <w:trHeight w:val="363"/>
        </w:trPr>
        <w:tc>
          <w:tcPr>
            <w:tcW w:w="2295" w:type="dxa"/>
            <w:tcBorders>
              <w:top w:val="double" w:sz="4" w:space="0" w:color="auto"/>
              <w:right w:val="double" w:sz="4" w:space="0" w:color="auto"/>
            </w:tcBorders>
            <w:vAlign w:val="center"/>
          </w:tcPr>
          <w:p w14:paraId="65B10CEA" w14:textId="77777777" w:rsidR="004041F4" w:rsidRPr="00A133F3" w:rsidRDefault="004041F4" w:rsidP="00636C4D">
            <w:pPr>
              <w:wordWrap/>
              <w:snapToGrid w:val="0"/>
              <w:ind w:rightChars="56" w:right="112"/>
              <w:jc w:val="center"/>
              <w:rPr>
                <w:rFonts w:ascii="Arial" w:hAnsi="Arial" w:cs="Arial"/>
                <w:b/>
                <w:color w:val="000000" w:themeColor="text1"/>
                <w:kern w:val="0"/>
                <w:szCs w:val="22"/>
              </w:rPr>
            </w:pPr>
            <w:r w:rsidRPr="00A133F3">
              <w:rPr>
                <w:rFonts w:ascii="Arial" w:hAnsi="Arial"/>
                <w:b/>
                <w:color w:val="000000" w:themeColor="text1"/>
                <w:kern w:val="0"/>
              </w:rPr>
              <w:t>Sales</w:t>
            </w:r>
          </w:p>
        </w:tc>
        <w:tc>
          <w:tcPr>
            <w:tcW w:w="2626" w:type="dxa"/>
            <w:tcBorders>
              <w:top w:val="double" w:sz="4" w:space="0" w:color="auto"/>
              <w:left w:val="double" w:sz="4" w:space="0" w:color="auto"/>
              <w:right w:val="double" w:sz="4" w:space="0" w:color="auto"/>
            </w:tcBorders>
            <w:shd w:val="clear" w:color="auto" w:fill="auto"/>
          </w:tcPr>
          <w:p w14:paraId="54495BE7" w14:textId="77777777" w:rsidR="004041F4" w:rsidRPr="00A133F3" w:rsidRDefault="004041F4" w:rsidP="00636C4D">
            <w:pPr>
              <w:jc w:val="center"/>
              <w:rPr>
                <w:rFonts w:ascii="Arial" w:hAnsi="Arial" w:cs="Arial"/>
                <w:b/>
                <w:color w:val="000000" w:themeColor="text1"/>
                <w:szCs w:val="22"/>
              </w:rPr>
            </w:pPr>
            <w:r w:rsidRPr="00A133F3">
              <w:rPr>
                <w:rFonts w:ascii="Arial" w:hAnsi="Arial"/>
                <w:b/>
                <w:color w:val="000000" w:themeColor="text1"/>
              </w:rPr>
              <w:t>1,259.5</w:t>
            </w:r>
          </w:p>
        </w:tc>
        <w:tc>
          <w:tcPr>
            <w:tcW w:w="2520" w:type="dxa"/>
            <w:tcBorders>
              <w:top w:val="double" w:sz="4" w:space="0" w:color="auto"/>
              <w:left w:val="double" w:sz="4" w:space="0" w:color="auto"/>
              <w:right w:val="double" w:sz="4" w:space="0" w:color="auto"/>
            </w:tcBorders>
            <w:vAlign w:val="center"/>
          </w:tcPr>
          <w:p w14:paraId="1D57802A" w14:textId="77777777" w:rsidR="004041F4" w:rsidRPr="00A133F3" w:rsidRDefault="004041F4" w:rsidP="00636C4D">
            <w:pPr>
              <w:jc w:val="center"/>
              <w:rPr>
                <w:rFonts w:ascii="Arial" w:hAnsi="Arial" w:cs="Arial"/>
                <w:b/>
                <w:color w:val="000000" w:themeColor="text1"/>
                <w:szCs w:val="22"/>
              </w:rPr>
            </w:pPr>
            <w:r w:rsidRPr="00A133F3">
              <w:rPr>
                <w:rFonts w:ascii="Arial" w:hAnsi="Arial"/>
                <w:b/>
                <w:color w:val="000000" w:themeColor="text1"/>
              </w:rPr>
              <w:t>1,324.9</w:t>
            </w:r>
          </w:p>
        </w:tc>
        <w:tc>
          <w:tcPr>
            <w:tcW w:w="2627" w:type="dxa"/>
            <w:tcBorders>
              <w:top w:val="double" w:sz="4" w:space="0" w:color="auto"/>
              <w:left w:val="double" w:sz="4" w:space="0" w:color="auto"/>
              <w:right w:val="nil"/>
            </w:tcBorders>
            <w:shd w:val="clear" w:color="auto" w:fill="FFFFFF" w:themeFill="background1"/>
          </w:tcPr>
          <w:p w14:paraId="40DC9D88" w14:textId="77777777" w:rsidR="004041F4" w:rsidRPr="00A133F3" w:rsidRDefault="004041F4" w:rsidP="00636C4D">
            <w:pPr>
              <w:jc w:val="center"/>
              <w:rPr>
                <w:rFonts w:ascii="Arial" w:hAnsi="Arial" w:cs="Arial"/>
                <w:b/>
                <w:color w:val="000000" w:themeColor="text1"/>
                <w:szCs w:val="22"/>
              </w:rPr>
            </w:pPr>
            <w:r w:rsidRPr="00A133F3">
              <w:rPr>
                <w:rFonts w:ascii="Arial" w:hAnsi="Arial"/>
                <w:b/>
                <w:color w:val="000000" w:themeColor="text1"/>
              </w:rPr>
              <w:t>1,295.0</w:t>
            </w:r>
          </w:p>
        </w:tc>
      </w:tr>
      <w:tr w:rsidR="004041F4" w:rsidRPr="00A133F3" w14:paraId="6A5667D3" w14:textId="77777777" w:rsidTr="00636C4D">
        <w:trPr>
          <w:trHeight w:val="363"/>
        </w:trPr>
        <w:tc>
          <w:tcPr>
            <w:tcW w:w="2295" w:type="dxa"/>
            <w:tcBorders>
              <w:right w:val="double" w:sz="4" w:space="0" w:color="auto"/>
            </w:tcBorders>
            <w:vAlign w:val="center"/>
          </w:tcPr>
          <w:p w14:paraId="51D4DB8C" w14:textId="77777777" w:rsidR="004041F4" w:rsidRPr="00A133F3" w:rsidRDefault="004041F4" w:rsidP="00636C4D">
            <w:pPr>
              <w:wordWrap/>
              <w:snapToGrid w:val="0"/>
              <w:ind w:rightChars="56" w:right="112"/>
              <w:jc w:val="center"/>
              <w:rPr>
                <w:rFonts w:ascii="Arial" w:hAnsi="Arial" w:cs="Arial"/>
                <w:b/>
                <w:color w:val="000000" w:themeColor="text1"/>
                <w:kern w:val="0"/>
                <w:szCs w:val="22"/>
              </w:rPr>
            </w:pPr>
            <w:r w:rsidRPr="00A133F3">
              <w:rPr>
                <w:rFonts w:ascii="Arial" w:hAnsi="Arial"/>
                <w:b/>
                <w:color w:val="000000" w:themeColor="text1"/>
                <w:kern w:val="0"/>
              </w:rPr>
              <w:t>Operating Profit</w:t>
            </w:r>
          </w:p>
        </w:tc>
        <w:tc>
          <w:tcPr>
            <w:tcW w:w="2626" w:type="dxa"/>
            <w:tcBorders>
              <w:left w:val="double" w:sz="4" w:space="0" w:color="auto"/>
              <w:right w:val="double" w:sz="4" w:space="0" w:color="auto"/>
            </w:tcBorders>
            <w:shd w:val="clear" w:color="auto" w:fill="auto"/>
          </w:tcPr>
          <w:p w14:paraId="6DF7589B" w14:textId="77777777" w:rsidR="004041F4" w:rsidRPr="00A133F3" w:rsidRDefault="004041F4" w:rsidP="00636C4D">
            <w:pPr>
              <w:jc w:val="center"/>
              <w:rPr>
                <w:rFonts w:ascii="Arial" w:hAnsi="Arial" w:cs="Arial"/>
                <w:b/>
                <w:color w:val="000000" w:themeColor="text1"/>
                <w:szCs w:val="22"/>
              </w:rPr>
            </w:pPr>
            <w:r w:rsidRPr="00A133F3">
              <w:rPr>
                <w:rFonts w:ascii="Arial" w:hAnsi="Arial"/>
                <w:b/>
                <w:color w:val="000000" w:themeColor="text1"/>
              </w:rPr>
              <w:t>188.6</w:t>
            </w:r>
          </w:p>
        </w:tc>
        <w:tc>
          <w:tcPr>
            <w:tcW w:w="2520" w:type="dxa"/>
            <w:tcBorders>
              <w:left w:val="double" w:sz="4" w:space="0" w:color="auto"/>
              <w:right w:val="double" w:sz="4" w:space="0" w:color="auto"/>
            </w:tcBorders>
            <w:vAlign w:val="center"/>
          </w:tcPr>
          <w:p w14:paraId="450F2ED7" w14:textId="77777777" w:rsidR="004041F4" w:rsidRPr="00A133F3" w:rsidRDefault="004041F4" w:rsidP="00636C4D">
            <w:pPr>
              <w:jc w:val="center"/>
              <w:rPr>
                <w:rFonts w:ascii="Arial" w:hAnsi="Arial" w:cs="Arial"/>
                <w:b/>
                <w:color w:val="000000" w:themeColor="text1"/>
                <w:szCs w:val="22"/>
              </w:rPr>
            </w:pPr>
            <w:r w:rsidRPr="00A133F3">
              <w:rPr>
                <w:rFonts w:ascii="Arial" w:hAnsi="Arial"/>
                <w:b/>
                <w:color w:val="000000" w:themeColor="text1"/>
              </w:rPr>
              <w:t>241.8</w:t>
            </w:r>
          </w:p>
        </w:tc>
        <w:tc>
          <w:tcPr>
            <w:tcW w:w="2627" w:type="dxa"/>
            <w:tcBorders>
              <w:left w:val="double" w:sz="4" w:space="0" w:color="auto"/>
              <w:right w:val="nil"/>
            </w:tcBorders>
            <w:shd w:val="clear" w:color="auto" w:fill="FFFFFF" w:themeFill="background1"/>
          </w:tcPr>
          <w:p w14:paraId="7284C3BF" w14:textId="77777777" w:rsidR="004041F4" w:rsidRPr="00A133F3" w:rsidRDefault="004041F4" w:rsidP="00636C4D">
            <w:pPr>
              <w:jc w:val="center"/>
              <w:rPr>
                <w:rFonts w:ascii="Arial" w:hAnsi="Arial" w:cs="Arial"/>
                <w:b/>
                <w:color w:val="000000" w:themeColor="text1"/>
                <w:szCs w:val="22"/>
              </w:rPr>
            </w:pPr>
            <w:r w:rsidRPr="00A133F3">
              <w:rPr>
                <w:rFonts w:ascii="Arial" w:hAnsi="Arial"/>
                <w:b/>
                <w:color w:val="000000" w:themeColor="text1"/>
              </w:rPr>
              <w:t>192</w:t>
            </w:r>
            <w:r w:rsidRPr="00A133F3">
              <w:rPr>
                <w:rFonts w:ascii="Arial" w:hAnsi="Arial" w:hint="eastAsia"/>
                <w:b/>
                <w:color w:val="000000" w:themeColor="text1"/>
              </w:rPr>
              <w:t>.</w:t>
            </w:r>
            <w:r w:rsidRPr="00A133F3">
              <w:rPr>
                <w:rFonts w:ascii="Arial" w:hAnsi="Arial"/>
                <w:b/>
                <w:color w:val="000000" w:themeColor="text1"/>
              </w:rPr>
              <w:t>2</w:t>
            </w:r>
          </w:p>
        </w:tc>
      </w:tr>
    </w:tbl>
    <w:p w14:paraId="0FDA0A28" w14:textId="77777777" w:rsidR="004041F4" w:rsidRPr="00A133F3" w:rsidRDefault="004041F4" w:rsidP="004041F4">
      <w:pPr>
        <w:wordWrap/>
        <w:snapToGrid w:val="0"/>
        <w:spacing w:line="276" w:lineRule="auto"/>
        <w:ind w:leftChars="71" w:left="142" w:rightChars="56" w:right="112"/>
        <w:rPr>
          <w:rFonts w:ascii="Arial" w:hAnsi="Arial" w:cs="Arial"/>
          <w:color w:val="000000" w:themeColor="text1"/>
          <w:kern w:val="0"/>
          <w:sz w:val="22"/>
          <w:szCs w:val="22"/>
        </w:rPr>
      </w:pPr>
    </w:p>
    <w:p w14:paraId="3AC467B7" w14:textId="77777777" w:rsidR="004041F4" w:rsidRPr="00A133F3" w:rsidRDefault="004041F4" w:rsidP="004041F4">
      <w:pPr>
        <w:wordWrap/>
        <w:snapToGrid w:val="0"/>
        <w:spacing w:line="276" w:lineRule="auto"/>
        <w:ind w:leftChars="71" w:left="142" w:rightChars="56" w:right="112"/>
        <w:rPr>
          <w:rFonts w:ascii="Arial" w:hAnsi="Arial" w:cs="Arial"/>
          <w:b/>
          <w:i/>
          <w:color w:val="000000" w:themeColor="text1"/>
          <w:kern w:val="0"/>
          <w:szCs w:val="20"/>
        </w:rPr>
      </w:pPr>
      <w:r w:rsidRPr="00A133F3">
        <w:rPr>
          <w:rFonts w:ascii="Arial" w:hAnsi="Arial"/>
          <w:b/>
          <w:i/>
          <w:color w:val="000000" w:themeColor="text1"/>
          <w:kern w:val="0"/>
        </w:rPr>
        <w:t>*Exchange Rates:</w:t>
      </w: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038"/>
        <w:gridCol w:w="2553"/>
        <w:gridCol w:w="2223"/>
        <w:gridCol w:w="2433"/>
      </w:tblGrid>
      <w:tr w:rsidR="004041F4" w:rsidRPr="00A133F3" w14:paraId="6F3CCF1E" w14:textId="77777777" w:rsidTr="00636C4D">
        <w:trPr>
          <w:trHeight w:val="363"/>
        </w:trPr>
        <w:tc>
          <w:tcPr>
            <w:tcW w:w="2203" w:type="dxa"/>
            <w:tcBorders>
              <w:bottom w:val="double" w:sz="4" w:space="0" w:color="auto"/>
              <w:right w:val="double" w:sz="4" w:space="0" w:color="auto"/>
            </w:tcBorders>
            <w:shd w:val="clear" w:color="auto" w:fill="7F7F7F" w:themeFill="text1" w:themeFillTint="80"/>
            <w:vAlign w:val="center"/>
          </w:tcPr>
          <w:p w14:paraId="1BCBA063"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p>
        </w:tc>
        <w:tc>
          <w:tcPr>
            <w:tcW w:w="2792" w:type="dxa"/>
            <w:tcBorders>
              <w:left w:val="double" w:sz="4" w:space="0" w:color="auto"/>
              <w:bottom w:val="double" w:sz="4" w:space="0" w:color="auto"/>
              <w:right w:val="double" w:sz="4" w:space="0" w:color="auto"/>
            </w:tcBorders>
            <w:shd w:val="clear" w:color="auto" w:fill="7F7F7F" w:themeFill="text1" w:themeFillTint="80"/>
            <w:vAlign w:val="center"/>
          </w:tcPr>
          <w:p w14:paraId="6DD4C5B0"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hint="eastAsia"/>
                <w:b/>
                <w:color w:val="FFFFFF" w:themeColor="background1"/>
                <w:kern w:val="0"/>
              </w:rPr>
              <w:t xml:space="preserve">Q4 </w:t>
            </w:r>
            <w:r w:rsidRPr="00A133F3">
              <w:rPr>
                <w:rFonts w:ascii="Arial" w:hAnsi="Arial"/>
                <w:b/>
                <w:color w:val="FFFFFF" w:themeColor="background1"/>
                <w:kern w:val="0"/>
              </w:rPr>
              <w:t>FY 201</w:t>
            </w:r>
            <w:r w:rsidRPr="00A133F3">
              <w:rPr>
                <w:rFonts w:ascii="Arial" w:hAnsi="Arial" w:hint="eastAsia"/>
                <w:b/>
                <w:color w:val="FFFFFF" w:themeColor="background1"/>
                <w:kern w:val="0"/>
              </w:rPr>
              <w:t>5</w:t>
            </w:r>
          </w:p>
        </w:tc>
        <w:tc>
          <w:tcPr>
            <w:tcW w:w="2417" w:type="dxa"/>
            <w:tcBorders>
              <w:left w:val="double" w:sz="4" w:space="0" w:color="auto"/>
              <w:bottom w:val="double" w:sz="4" w:space="0" w:color="auto"/>
              <w:right w:val="double" w:sz="4" w:space="0" w:color="auto"/>
            </w:tcBorders>
            <w:shd w:val="clear" w:color="auto" w:fill="7F7F7F" w:themeFill="text1" w:themeFillTint="80"/>
            <w:vAlign w:val="center"/>
          </w:tcPr>
          <w:p w14:paraId="16B0D4F8"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hint="eastAsia"/>
                <w:b/>
                <w:color w:val="FFFFFF" w:themeColor="background1"/>
                <w:kern w:val="0"/>
              </w:rPr>
              <w:t xml:space="preserve">Q3 </w:t>
            </w:r>
            <w:r w:rsidRPr="00A133F3">
              <w:rPr>
                <w:rFonts w:ascii="Arial" w:hAnsi="Arial"/>
                <w:b/>
                <w:color w:val="FFFFFF" w:themeColor="background1"/>
                <w:kern w:val="0"/>
              </w:rPr>
              <w:t>FY 201</w:t>
            </w:r>
            <w:r w:rsidRPr="00A133F3">
              <w:rPr>
                <w:rFonts w:ascii="Arial" w:hAnsi="Arial" w:hint="eastAsia"/>
                <w:b/>
                <w:color w:val="FFFFFF" w:themeColor="background1"/>
                <w:kern w:val="0"/>
              </w:rPr>
              <w:t>6</w:t>
            </w:r>
          </w:p>
        </w:tc>
        <w:tc>
          <w:tcPr>
            <w:tcW w:w="2656" w:type="dxa"/>
            <w:tcBorders>
              <w:left w:val="double" w:sz="4" w:space="0" w:color="auto"/>
              <w:bottom w:val="double" w:sz="4" w:space="0" w:color="auto"/>
              <w:right w:val="nil"/>
            </w:tcBorders>
            <w:shd w:val="clear" w:color="auto" w:fill="7F7F7F" w:themeFill="text1" w:themeFillTint="80"/>
            <w:vAlign w:val="center"/>
          </w:tcPr>
          <w:p w14:paraId="18E6F474" w14:textId="77777777" w:rsidR="004041F4" w:rsidRPr="00A133F3" w:rsidRDefault="004041F4" w:rsidP="00636C4D">
            <w:pPr>
              <w:wordWrap/>
              <w:snapToGrid w:val="0"/>
              <w:ind w:rightChars="56" w:right="112"/>
              <w:jc w:val="center"/>
              <w:rPr>
                <w:rFonts w:ascii="Arial" w:hAnsi="Arial" w:cs="Arial"/>
                <w:b/>
                <w:color w:val="FFFFFF" w:themeColor="background1"/>
                <w:kern w:val="0"/>
                <w:szCs w:val="22"/>
              </w:rPr>
            </w:pPr>
            <w:r w:rsidRPr="00A133F3">
              <w:rPr>
                <w:rFonts w:ascii="Arial" w:hAnsi="Arial" w:hint="eastAsia"/>
                <w:b/>
                <w:color w:val="FFFFFF" w:themeColor="background1"/>
                <w:kern w:val="0"/>
              </w:rPr>
              <w:t xml:space="preserve">Q4 </w:t>
            </w:r>
            <w:r w:rsidRPr="00A133F3">
              <w:rPr>
                <w:rFonts w:ascii="Arial" w:hAnsi="Arial"/>
                <w:b/>
                <w:color w:val="FFFFFF" w:themeColor="background1"/>
                <w:kern w:val="0"/>
              </w:rPr>
              <w:t>FY 201</w:t>
            </w:r>
            <w:r w:rsidRPr="00A133F3">
              <w:rPr>
                <w:rFonts w:ascii="Arial" w:hAnsi="Arial" w:hint="eastAsia"/>
                <w:b/>
                <w:color w:val="FFFFFF" w:themeColor="background1"/>
                <w:kern w:val="0"/>
              </w:rPr>
              <w:t>6</w:t>
            </w:r>
          </w:p>
        </w:tc>
      </w:tr>
      <w:tr w:rsidR="004041F4" w:rsidRPr="00A133F3" w14:paraId="663926A1" w14:textId="77777777" w:rsidTr="00636C4D">
        <w:trPr>
          <w:trHeight w:val="363"/>
        </w:trPr>
        <w:tc>
          <w:tcPr>
            <w:tcW w:w="2203" w:type="dxa"/>
            <w:tcBorders>
              <w:top w:val="double" w:sz="4" w:space="0" w:color="auto"/>
              <w:right w:val="double" w:sz="4" w:space="0" w:color="auto"/>
            </w:tcBorders>
            <w:vAlign w:val="center"/>
          </w:tcPr>
          <w:p w14:paraId="0AE2AEF5" w14:textId="77777777" w:rsidR="004041F4" w:rsidRPr="00A133F3" w:rsidRDefault="004041F4" w:rsidP="00636C4D">
            <w:pPr>
              <w:wordWrap/>
              <w:snapToGrid w:val="0"/>
              <w:ind w:rightChars="56" w:right="112"/>
              <w:jc w:val="center"/>
              <w:rPr>
                <w:rFonts w:ascii="Arial" w:hAnsi="Arial" w:cs="Arial"/>
                <w:b/>
                <w:color w:val="000000" w:themeColor="text1"/>
                <w:kern w:val="0"/>
                <w:szCs w:val="22"/>
              </w:rPr>
            </w:pPr>
            <w:r w:rsidRPr="00A133F3">
              <w:rPr>
                <w:rFonts w:ascii="Arial" w:hAnsi="Arial"/>
                <w:b/>
                <w:color w:val="000000" w:themeColor="text1"/>
                <w:kern w:val="0"/>
              </w:rPr>
              <w:t>USD / KRW</w:t>
            </w:r>
          </w:p>
        </w:tc>
        <w:tc>
          <w:tcPr>
            <w:tcW w:w="2792" w:type="dxa"/>
            <w:tcBorders>
              <w:top w:val="double" w:sz="4" w:space="0" w:color="auto"/>
              <w:left w:val="double" w:sz="4" w:space="0" w:color="auto"/>
              <w:right w:val="double" w:sz="4" w:space="0" w:color="auto"/>
            </w:tcBorders>
          </w:tcPr>
          <w:p w14:paraId="355EA6A0" w14:textId="77777777" w:rsidR="004041F4" w:rsidRPr="00A133F3" w:rsidRDefault="004041F4" w:rsidP="00636C4D">
            <w:pPr>
              <w:jc w:val="center"/>
              <w:rPr>
                <w:rFonts w:ascii="Arial" w:hAnsi="Arial" w:cs="Arial"/>
                <w:b/>
                <w:color w:val="000000" w:themeColor="text1"/>
                <w:szCs w:val="22"/>
              </w:rPr>
            </w:pPr>
            <w:r w:rsidRPr="00A133F3">
              <w:rPr>
                <w:rFonts w:ascii="Arial" w:hAnsi="Arial"/>
                <w:b/>
                <w:color w:val="000000" w:themeColor="text1"/>
              </w:rPr>
              <w:t>1,157.69</w:t>
            </w:r>
          </w:p>
        </w:tc>
        <w:tc>
          <w:tcPr>
            <w:tcW w:w="2417" w:type="dxa"/>
            <w:tcBorders>
              <w:top w:val="double" w:sz="4" w:space="0" w:color="auto"/>
              <w:left w:val="double" w:sz="4" w:space="0" w:color="auto"/>
              <w:right w:val="double" w:sz="4" w:space="0" w:color="auto"/>
            </w:tcBorders>
          </w:tcPr>
          <w:p w14:paraId="0B2B15C1" w14:textId="77777777" w:rsidR="004041F4" w:rsidRPr="00A133F3" w:rsidRDefault="004041F4" w:rsidP="00636C4D">
            <w:pPr>
              <w:jc w:val="center"/>
              <w:rPr>
                <w:rFonts w:ascii="Arial" w:hAnsi="Arial" w:cs="Arial"/>
                <w:b/>
                <w:color w:val="000000" w:themeColor="text1"/>
                <w:szCs w:val="22"/>
              </w:rPr>
            </w:pPr>
            <w:r w:rsidRPr="00A133F3">
              <w:rPr>
                <w:rFonts w:ascii="Arial" w:hAnsi="Arial" w:hint="eastAsia"/>
                <w:b/>
                <w:color w:val="000000" w:themeColor="text1"/>
              </w:rPr>
              <w:t>1</w:t>
            </w:r>
            <w:r w:rsidRPr="00A133F3">
              <w:rPr>
                <w:rFonts w:ascii="Arial" w:hAnsi="Arial"/>
                <w:b/>
                <w:color w:val="000000" w:themeColor="text1"/>
              </w:rPr>
              <w:t>,121.37</w:t>
            </w:r>
          </w:p>
        </w:tc>
        <w:tc>
          <w:tcPr>
            <w:tcW w:w="2656" w:type="dxa"/>
            <w:tcBorders>
              <w:top w:val="double" w:sz="4" w:space="0" w:color="auto"/>
              <w:left w:val="double" w:sz="4" w:space="0" w:color="auto"/>
              <w:right w:val="nil"/>
            </w:tcBorders>
          </w:tcPr>
          <w:p w14:paraId="0EEE477C" w14:textId="77777777" w:rsidR="004041F4" w:rsidRPr="00A133F3" w:rsidRDefault="004041F4" w:rsidP="00636C4D">
            <w:pPr>
              <w:jc w:val="center"/>
              <w:rPr>
                <w:rFonts w:ascii="Arial" w:hAnsi="Arial" w:cs="Arial"/>
                <w:b/>
                <w:color w:val="000000" w:themeColor="text1"/>
                <w:szCs w:val="22"/>
              </w:rPr>
            </w:pPr>
            <w:r w:rsidRPr="00A133F3">
              <w:rPr>
                <w:rFonts w:ascii="Arial" w:hAnsi="Arial" w:hint="eastAsia"/>
                <w:b/>
                <w:color w:val="000000" w:themeColor="text1"/>
              </w:rPr>
              <w:t>1</w:t>
            </w:r>
            <w:r w:rsidRPr="00A133F3">
              <w:rPr>
                <w:rFonts w:ascii="Arial" w:hAnsi="Arial"/>
                <w:b/>
                <w:color w:val="000000" w:themeColor="text1"/>
              </w:rPr>
              <w:t>,157.37</w:t>
            </w:r>
          </w:p>
        </w:tc>
      </w:tr>
      <w:tr w:rsidR="004041F4" w:rsidRPr="00A133F3" w14:paraId="537A1533" w14:textId="77777777" w:rsidTr="00636C4D">
        <w:trPr>
          <w:trHeight w:val="363"/>
        </w:trPr>
        <w:tc>
          <w:tcPr>
            <w:tcW w:w="2203" w:type="dxa"/>
            <w:tcBorders>
              <w:right w:val="double" w:sz="4" w:space="0" w:color="auto"/>
            </w:tcBorders>
            <w:vAlign w:val="center"/>
          </w:tcPr>
          <w:p w14:paraId="398BCC60" w14:textId="77777777" w:rsidR="004041F4" w:rsidRPr="00A133F3" w:rsidRDefault="004041F4" w:rsidP="00636C4D">
            <w:pPr>
              <w:wordWrap/>
              <w:snapToGrid w:val="0"/>
              <w:ind w:rightChars="56" w:right="112"/>
              <w:jc w:val="center"/>
              <w:rPr>
                <w:rFonts w:ascii="Arial" w:hAnsi="Arial" w:cs="Arial"/>
                <w:b/>
                <w:color w:val="000000" w:themeColor="text1"/>
                <w:kern w:val="0"/>
                <w:szCs w:val="22"/>
              </w:rPr>
            </w:pPr>
            <w:r w:rsidRPr="00A133F3">
              <w:rPr>
                <w:rFonts w:ascii="Arial" w:hAnsi="Arial"/>
                <w:b/>
                <w:color w:val="000000" w:themeColor="text1"/>
                <w:kern w:val="0"/>
              </w:rPr>
              <w:t>EUR / KRW</w:t>
            </w:r>
          </w:p>
        </w:tc>
        <w:tc>
          <w:tcPr>
            <w:tcW w:w="2792" w:type="dxa"/>
            <w:tcBorders>
              <w:left w:val="double" w:sz="4" w:space="0" w:color="auto"/>
              <w:right w:val="double" w:sz="4" w:space="0" w:color="auto"/>
            </w:tcBorders>
          </w:tcPr>
          <w:p w14:paraId="432C4934" w14:textId="77777777" w:rsidR="004041F4" w:rsidRPr="00A133F3" w:rsidRDefault="004041F4" w:rsidP="00636C4D">
            <w:pPr>
              <w:jc w:val="center"/>
              <w:rPr>
                <w:rFonts w:ascii="Arial" w:hAnsi="Arial" w:cs="Arial"/>
                <w:b/>
                <w:color w:val="000000" w:themeColor="text1"/>
                <w:szCs w:val="22"/>
              </w:rPr>
            </w:pPr>
            <w:r w:rsidRPr="00A133F3">
              <w:rPr>
                <w:rFonts w:ascii="Arial" w:hAnsi="Arial"/>
                <w:b/>
                <w:color w:val="000000" w:themeColor="text1"/>
              </w:rPr>
              <w:t>1,267.57</w:t>
            </w:r>
          </w:p>
        </w:tc>
        <w:tc>
          <w:tcPr>
            <w:tcW w:w="2417" w:type="dxa"/>
            <w:tcBorders>
              <w:left w:val="double" w:sz="4" w:space="0" w:color="auto"/>
              <w:right w:val="double" w:sz="4" w:space="0" w:color="auto"/>
            </w:tcBorders>
          </w:tcPr>
          <w:p w14:paraId="150130ED" w14:textId="77777777" w:rsidR="004041F4" w:rsidRPr="00A133F3" w:rsidRDefault="004041F4" w:rsidP="00636C4D">
            <w:pPr>
              <w:jc w:val="center"/>
              <w:rPr>
                <w:rFonts w:ascii="Arial" w:hAnsi="Arial" w:cs="Arial"/>
                <w:b/>
                <w:color w:val="000000" w:themeColor="text1"/>
                <w:szCs w:val="22"/>
              </w:rPr>
            </w:pPr>
            <w:r w:rsidRPr="00A133F3">
              <w:rPr>
                <w:rFonts w:ascii="Arial" w:hAnsi="Arial"/>
                <w:b/>
                <w:color w:val="000000" w:themeColor="text1"/>
              </w:rPr>
              <w:t>1,251.04</w:t>
            </w:r>
          </w:p>
        </w:tc>
        <w:tc>
          <w:tcPr>
            <w:tcW w:w="2656" w:type="dxa"/>
            <w:tcBorders>
              <w:left w:val="double" w:sz="4" w:space="0" w:color="auto"/>
              <w:right w:val="nil"/>
            </w:tcBorders>
          </w:tcPr>
          <w:p w14:paraId="69BEB030" w14:textId="77777777" w:rsidR="004041F4" w:rsidRPr="00A133F3" w:rsidRDefault="004041F4" w:rsidP="00636C4D">
            <w:pPr>
              <w:jc w:val="center"/>
              <w:rPr>
                <w:rFonts w:ascii="Arial" w:hAnsi="Arial" w:cs="Arial"/>
                <w:b/>
                <w:color w:val="000000" w:themeColor="text1"/>
                <w:szCs w:val="22"/>
              </w:rPr>
            </w:pPr>
            <w:r w:rsidRPr="00A133F3">
              <w:rPr>
                <w:rFonts w:ascii="Arial" w:hAnsi="Arial"/>
                <w:b/>
                <w:color w:val="000000" w:themeColor="text1"/>
              </w:rPr>
              <w:t>1,247.02</w:t>
            </w:r>
          </w:p>
        </w:tc>
      </w:tr>
    </w:tbl>
    <w:p w14:paraId="574260CA" w14:textId="77777777" w:rsidR="004041F4" w:rsidRPr="00A133F3" w:rsidRDefault="004041F4" w:rsidP="004041F4">
      <w:pPr>
        <w:widowControl/>
        <w:wordWrap/>
        <w:autoSpaceDE/>
        <w:autoSpaceDN/>
        <w:spacing w:line="207" w:lineRule="atLeast"/>
        <w:ind w:right="112" w:firstLine="108"/>
        <w:jc w:val="left"/>
        <w:rPr>
          <w:rFonts w:ascii="Arial" w:eastAsia="Malgun Gothic" w:hAnsi="Arial" w:cs="Arial"/>
          <w:b/>
          <w:bCs/>
          <w:color w:val="000000" w:themeColor="text1"/>
          <w:kern w:val="0"/>
          <w:sz w:val="22"/>
          <w:szCs w:val="22"/>
          <w:shd w:val="clear" w:color="auto" w:fill="FFFFFF"/>
        </w:rPr>
      </w:pPr>
    </w:p>
    <w:p w14:paraId="28880225" w14:textId="77777777" w:rsidR="004041F4" w:rsidRPr="00A133F3" w:rsidRDefault="004041F4" w:rsidP="004041F4">
      <w:pPr>
        <w:widowControl/>
        <w:wordWrap/>
        <w:autoSpaceDE/>
        <w:autoSpaceDN/>
        <w:spacing w:line="207" w:lineRule="atLeast"/>
        <w:ind w:right="112" w:firstLine="108"/>
        <w:jc w:val="left"/>
        <w:rPr>
          <w:rFonts w:ascii="Malgun Gothic" w:eastAsia="Malgun Gothic" w:hAnsi="Malgun Gothic" w:cs="Gulim"/>
          <w:color w:val="000000" w:themeColor="text1"/>
          <w:kern w:val="0"/>
          <w:sz w:val="24"/>
          <w:shd w:val="clear" w:color="auto" w:fill="FFFFFF" w:themeFill="background1"/>
        </w:rPr>
      </w:pPr>
      <w:r w:rsidRPr="00A133F3">
        <w:rPr>
          <w:rFonts w:ascii="Arial" w:hAnsi="Arial"/>
          <w:b/>
          <w:color w:val="000000" w:themeColor="text1"/>
          <w:kern w:val="0"/>
          <w:sz w:val="24"/>
          <w:shd w:val="clear" w:color="auto" w:fill="FFFFFF" w:themeFill="background1"/>
        </w:rPr>
        <w:t>2016 Consolidated Financial Result</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090"/>
        <w:gridCol w:w="3090"/>
      </w:tblGrid>
      <w:tr w:rsidR="004041F4" w:rsidRPr="00A133F3" w14:paraId="4D2C6AA0" w14:textId="77777777" w:rsidTr="00636C4D">
        <w:trPr>
          <w:trHeight w:val="362"/>
        </w:trPr>
        <w:tc>
          <w:tcPr>
            <w:tcW w:w="2550" w:type="dxa"/>
            <w:tcBorders>
              <w:top w:val="single" w:sz="6" w:space="0" w:color="auto"/>
              <w:left w:val="nil"/>
              <w:bottom w:val="double" w:sz="4" w:space="0" w:color="auto"/>
              <w:right w:val="double" w:sz="4" w:space="0" w:color="auto"/>
            </w:tcBorders>
            <w:shd w:val="clear" w:color="auto" w:fill="7F7F7F"/>
            <w:vAlign w:val="center"/>
            <w:hideMark/>
          </w:tcPr>
          <w:p w14:paraId="04C71A57"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color w:val="FFFFFF"/>
                <w:kern w:val="0"/>
              </w:rPr>
              <w:t>(Unit: Billion KRW)</w:t>
            </w:r>
          </w:p>
        </w:tc>
        <w:tc>
          <w:tcPr>
            <w:tcW w:w="3090" w:type="dxa"/>
            <w:tcBorders>
              <w:top w:val="single" w:sz="6" w:space="0" w:color="auto"/>
              <w:left w:val="nil"/>
              <w:bottom w:val="double" w:sz="4" w:space="0" w:color="auto"/>
              <w:right w:val="double" w:sz="4" w:space="0" w:color="auto"/>
            </w:tcBorders>
            <w:shd w:val="clear" w:color="auto" w:fill="7F7F7F"/>
            <w:vAlign w:val="center"/>
            <w:hideMark/>
          </w:tcPr>
          <w:p w14:paraId="654A275D"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color w:val="FFFFFF"/>
                <w:kern w:val="0"/>
              </w:rPr>
              <w:t>FY 2015</w:t>
            </w:r>
          </w:p>
        </w:tc>
        <w:tc>
          <w:tcPr>
            <w:tcW w:w="3090" w:type="dxa"/>
            <w:tcBorders>
              <w:top w:val="single" w:sz="6" w:space="0" w:color="auto"/>
              <w:left w:val="nil"/>
              <w:bottom w:val="double" w:sz="4" w:space="0" w:color="auto"/>
              <w:right w:val="nil"/>
            </w:tcBorders>
            <w:shd w:val="clear" w:color="auto" w:fill="7F7F7F"/>
            <w:vAlign w:val="center"/>
            <w:hideMark/>
          </w:tcPr>
          <w:p w14:paraId="68D4F79F"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color w:val="FFFFFF"/>
                <w:kern w:val="0"/>
              </w:rPr>
              <w:t>FY 2016</w:t>
            </w:r>
          </w:p>
        </w:tc>
      </w:tr>
      <w:tr w:rsidR="004041F4" w:rsidRPr="00A133F3" w14:paraId="02E26164" w14:textId="77777777" w:rsidTr="00636C4D">
        <w:trPr>
          <w:trHeight w:val="362"/>
        </w:trPr>
        <w:tc>
          <w:tcPr>
            <w:tcW w:w="2550" w:type="dxa"/>
            <w:tcBorders>
              <w:top w:val="nil"/>
              <w:left w:val="nil"/>
              <w:bottom w:val="single" w:sz="6" w:space="0" w:color="auto"/>
              <w:right w:val="double" w:sz="4" w:space="0" w:color="auto"/>
            </w:tcBorders>
            <w:shd w:val="clear" w:color="auto" w:fill="auto"/>
            <w:vAlign w:val="center"/>
            <w:hideMark/>
          </w:tcPr>
          <w:p w14:paraId="3C034A20"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kern w:val="0"/>
              </w:rPr>
              <w:t>Sales</w:t>
            </w:r>
          </w:p>
        </w:tc>
        <w:tc>
          <w:tcPr>
            <w:tcW w:w="3090" w:type="dxa"/>
            <w:tcBorders>
              <w:top w:val="nil"/>
              <w:left w:val="nil"/>
              <w:bottom w:val="single" w:sz="6" w:space="0" w:color="auto"/>
              <w:right w:val="double" w:sz="4" w:space="0" w:color="auto"/>
            </w:tcBorders>
            <w:shd w:val="clear" w:color="auto" w:fill="auto"/>
            <w:vAlign w:val="center"/>
            <w:hideMark/>
          </w:tcPr>
          <w:p w14:paraId="653F8AD5" w14:textId="77777777" w:rsidR="004041F4" w:rsidRPr="00A133F3" w:rsidRDefault="004041F4" w:rsidP="00636C4D">
            <w:pPr>
              <w:widowControl/>
              <w:wordWrap/>
              <w:autoSpaceDE/>
              <w:autoSpaceDN/>
              <w:ind w:right="160"/>
              <w:jc w:val="center"/>
              <w:rPr>
                <w:rFonts w:ascii="Arial" w:eastAsia="Gulim" w:hAnsi="Arial" w:cs="Arial"/>
                <w:color w:val="000000" w:themeColor="text1"/>
                <w:kern w:val="0"/>
              </w:rPr>
            </w:pPr>
            <w:r w:rsidRPr="00A133F3">
              <w:rPr>
                <w:rFonts w:ascii="Arial" w:hAnsi="Arial"/>
                <w:b/>
                <w:color w:val="000000" w:themeColor="text1"/>
                <w:kern w:val="0"/>
              </w:rPr>
              <w:t>6,428.2</w:t>
            </w:r>
          </w:p>
        </w:tc>
        <w:tc>
          <w:tcPr>
            <w:tcW w:w="3090" w:type="dxa"/>
            <w:tcBorders>
              <w:top w:val="nil"/>
              <w:left w:val="nil"/>
              <w:bottom w:val="single" w:sz="6" w:space="0" w:color="auto"/>
              <w:right w:val="nil"/>
            </w:tcBorders>
            <w:shd w:val="clear" w:color="auto" w:fill="auto"/>
            <w:vAlign w:val="center"/>
            <w:hideMark/>
          </w:tcPr>
          <w:p w14:paraId="51BE0C15" w14:textId="77777777" w:rsidR="004041F4" w:rsidRPr="00A133F3" w:rsidRDefault="004041F4" w:rsidP="00636C4D">
            <w:pPr>
              <w:widowControl/>
              <w:wordWrap/>
              <w:autoSpaceDE/>
              <w:autoSpaceDN/>
              <w:ind w:right="160"/>
              <w:jc w:val="center"/>
              <w:rPr>
                <w:rFonts w:ascii="Arial" w:eastAsia="Gulim" w:hAnsi="Arial" w:cs="Arial"/>
                <w:color w:val="000000" w:themeColor="text1"/>
                <w:kern w:val="0"/>
              </w:rPr>
            </w:pPr>
            <w:r w:rsidRPr="00A133F3">
              <w:rPr>
                <w:rFonts w:ascii="Arial" w:hAnsi="Arial"/>
                <w:b/>
                <w:color w:val="000000" w:themeColor="text1"/>
                <w:kern w:val="0"/>
              </w:rPr>
              <w:t>6,626.1</w:t>
            </w:r>
          </w:p>
        </w:tc>
      </w:tr>
      <w:tr w:rsidR="004041F4" w:rsidRPr="00A133F3" w14:paraId="0803321E" w14:textId="77777777" w:rsidTr="00636C4D">
        <w:trPr>
          <w:trHeight w:val="362"/>
        </w:trPr>
        <w:tc>
          <w:tcPr>
            <w:tcW w:w="2550" w:type="dxa"/>
            <w:tcBorders>
              <w:top w:val="nil"/>
              <w:left w:val="nil"/>
              <w:bottom w:val="single" w:sz="6" w:space="0" w:color="auto"/>
              <w:right w:val="double" w:sz="4" w:space="0" w:color="auto"/>
            </w:tcBorders>
            <w:shd w:val="clear" w:color="auto" w:fill="auto"/>
            <w:vAlign w:val="center"/>
            <w:hideMark/>
          </w:tcPr>
          <w:p w14:paraId="41BEF20D"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kern w:val="0"/>
              </w:rPr>
              <w:t>Operating Profit</w:t>
            </w:r>
          </w:p>
        </w:tc>
        <w:tc>
          <w:tcPr>
            <w:tcW w:w="3090" w:type="dxa"/>
            <w:tcBorders>
              <w:top w:val="nil"/>
              <w:left w:val="nil"/>
              <w:bottom w:val="single" w:sz="6" w:space="0" w:color="auto"/>
              <w:right w:val="double" w:sz="4" w:space="0" w:color="auto"/>
            </w:tcBorders>
            <w:shd w:val="clear" w:color="auto" w:fill="auto"/>
            <w:vAlign w:val="center"/>
            <w:hideMark/>
          </w:tcPr>
          <w:p w14:paraId="5558A375" w14:textId="77777777" w:rsidR="004041F4" w:rsidRPr="00A133F3" w:rsidRDefault="004041F4" w:rsidP="00636C4D">
            <w:pPr>
              <w:widowControl/>
              <w:wordWrap/>
              <w:autoSpaceDE/>
              <w:autoSpaceDN/>
              <w:ind w:right="160"/>
              <w:jc w:val="center"/>
              <w:rPr>
                <w:rFonts w:ascii="Arial" w:eastAsia="Gulim" w:hAnsi="Arial" w:cs="Arial"/>
                <w:color w:val="000000" w:themeColor="text1"/>
                <w:kern w:val="0"/>
              </w:rPr>
            </w:pPr>
            <w:r w:rsidRPr="00A133F3">
              <w:rPr>
                <w:rFonts w:ascii="Arial" w:hAnsi="Arial"/>
                <w:b/>
                <w:color w:val="000000" w:themeColor="text1"/>
                <w:kern w:val="0"/>
              </w:rPr>
              <w:t>885.0</w:t>
            </w:r>
          </w:p>
        </w:tc>
        <w:tc>
          <w:tcPr>
            <w:tcW w:w="3090" w:type="dxa"/>
            <w:tcBorders>
              <w:top w:val="nil"/>
              <w:left w:val="nil"/>
              <w:bottom w:val="single" w:sz="6" w:space="0" w:color="auto"/>
              <w:right w:val="nil"/>
            </w:tcBorders>
            <w:shd w:val="clear" w:color="auto" w:fill="auto"/>
            <w:vAlign w:val="center"/>
            <w:hideMark/>
          </w:tcPr>
          <w:p w14:paraId="44839BF7" w14:textId="77777777" w:rsidR="004041F4" w:rsidRPr="00A133F3" w:rsidRDefault="004041F4" w:rsidP="00636C4D">
            <w:pPr>
              <w:widowControl/>
              <w:wordWrap/>
              <w:autoSpaceDE/>
              <w:autoSpaceDN/>
              <w:ind w:right="160"/>
              <w:jc w:val="center"/>
              <w:rPr>
                <w:rFonts w:ascii="Arial" w:eastAsia="Gulim" w:hAnsi="Arial" w:cs="Arial"/>
                <w:color w:val="000000" w:themeColor="text1"/>
                <w:kern w:val="0"/>
              </w:rPr>
            </w:pPr>
            <w:r w:rsidRPr="00A133F3">
              <w:rPr>
                <w:rFonts w:ascii="Arial" w:hAnsi="Arial"/>
                <w:b/>
                <w:color w:val="000000" w:themeColor="text1"/>
                <w:kern w:val="0"/>
              </w:rPr>
              <w:t>1,103.8</w:t>
            </w:r>
          </w:p>
        </w:tc>
      </w:tr>
    </w:tbl>
    <w:p w14:paraId="7DA66523" w14:textId="77777777" w:rsidR="004041F4" w:rsidRPr="00A133F3" w:rsidRDefault="004041F4" w:rsidP="004041F4">
      <w:pPr>
        <w:widowControl/>
        <w:wordWrap/>
        <w:autoSpaceDE/>
        <w:autoSpaceDN/>
        <w:jc w:val="left"/>
        <w:rPr>
          <w:rFonts w:ascii="Gulim" w:eastAsia="Gulim" w:hAnsi="Gulim" w:cs="Gulim"/>
          <w:kern w:val="0"/>
          <w:sz w:val="24"/>
        </w:rPr>
      </w:pPr>
      <w:r w:rsidRPr="00A133F3">
        <w:rPr>
          <w:rFonts w:ascii="Arial" w:hAnsi="Arial"/>
          <w:color w:val="500050"/>
          <w:kern w:val="0"/>
          <w:sz w:val="22"/>
          <w:shd w:val="clear" w:color="auto" w:fill="FFFFFF"/>
        </w:rPr>
        <w:t> </w:t>
      </w:r>
    </w:p>
    <w:tbl>
      <w:tblPr>
        <w:tblW w:w="0" w:type="auto"/>
        <w:tblInd w:w="2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0"/>
        <w:gridCol w:w="3120"/>
        <w:gridCol w:w="3120"/>
      </w:tblGrid>
      <w:tr w:rsidR="004041F4" w:rsidRPr="00A133F3" w14:paraId="561C1102" w14:textId="77777777" w:rsidTr="00636C4D">
        <w:trPr>
          <w:trHeight w:val="363"/>
        </w:trPr>
        <w:tc>
          <w:tcPr>
            <w:tcW w:w="2550" w:type="dxa"/>
            <w:tcBorders>
              <w:top w:val="single" w:sz="6" w:space="0" w:color="auto"/>
              <w:left w:val="nil"/>
              <w:bottom w:val="double" w:sz="4" w:space="0" w:color="auto"/>
              <w:right w:val="double" w:sz="4" w:space="0" w:color="auto"/>
            </w:tcBorders>
            <w:shd w:val="clear" w:color="auto" w:fill="7F7F7F"/>
            <w:vAlign w:val="center"/>
            <w:hideMark/>
          </w:tcPr>
          <w:p w14:paraId="7382F16A" w14:textId="77777777" w:rsidR="004041F4" w:rsidRPr="00A133F3" w:rsidRDefault="004041F4" w:rsidP="00636C4D">
            <w:pPr>
              <w:widowControl/>
              <w:wordWrap/>
              <w:autoSpaceDE/>
              <w:autoSpaceDN/>
              <w:ind w:right="112"/>
              <w:jc w:val="center"/>
              <w:rPr>
                <w:rFonts w:ascii="Arial" w:eastAsia="Malgun Gothic" w:hAnsi="Arial" w:cs="Arial"/>
                <w:color w:val="222222"/>
                <w:kern w:val="0"/>
                <w:sz w:val="18"/>
                <w:szCs w:val="18"/>
              </w:rPr>
            </w:pPr>
            <w:r w:rsidRPr="00A133F3">
              <w:rPr>
                <w:rFonts w:ascii="Arial" w:hAnsi="Arial"/>
                <w:b/>
                <w:color w:val="FFFFFF"/>
                <w:kern w:val="0"/>
                <w:sz w:val="22"/>
              </w:rPr>
              <w:t>(Unit: Million USD)</w:t>
            </w:r>
          </w:p>
        </w:tc>
        <w:tc>
          <w:tcPr>
            <w:tcW w:w="3120" w:type="dxa"/>
            <w:tcBorders>
              <w:top w:val="single" w:sz="6" w:space="0" w:color="auto"/>
              <w:left w:val="nil"/>
              <w:bottom w:val="double" w:sz="4" w:space="0" w:color="auto"/>
              <w:right w:val="double" w:sz="4" w:space="0" w:color="auto"/>
            </w:tcBorders>
            <w:shd w:val="clear" w:color="auto" w:fill="7F7F7F"/>
            <w:vAlign w:val="center"/>
            <w:hideMark/>
          </w:tcPr>
          <w:p w14:paraId="01745989" w14:textId="77777777" w:rsidR="004041F4" w:rsidRPr="00A133F3" w:rsidRDefault="004041F4" w:rsidP="00636C4D">
            <w:pPr>
              <w:widowControl/>
              <w:wordWrap/>
              <w:autoSpaceDE/>
              <w:autoSpaceDN/>
              <w:ind w:right="112"/>
              <w:jc w:val="center"/>
              <w:rPr>
                <w:rFonts w:ascii="Arial" w:eastAsia="Malgun Gothic" w:hAnsi="Arial" w:cs="Arial"/>
                <w:color w:val="222222"/>
                <w:kern w:val="0"/>
                <w:sz w:val="18"/>
                <w:szCs w:val="18"/>
              </w:rPr>
            </w:pPr>
            <w:r w:rsidRPr="00A133F3">
              <w:rPr>
                <w:rFonts w:ascii="Arial" w:hAnsi="Arial"/>
                <w:b/>
                <w:color w:val="FFFFFF"/>
                <w:kern w:val="0"/>
                <w:sz w:val="22"/>
              </w:rPr>
              <w:t>FY 2015</w:t>
            </w:r>
          </w:p>
        </w:tc>
        <w:tc>
          <w:tcPr>
            <w:tcW w:w="3120" w:type="dxa"/>
            <w:tcBorders>
              <w:top w:val="single" w:sz="6" w:space="0" w:color="auto"/>
              <w:left w:val="nil"/>
              <w:bottom w:val="double" w:sz="4" w:space="0" w:color="auto"/>
              <w:right w:val="nil"/>
            </w:tcBorders>
            <w:shd w:val="clear" w:color="auto" w:fill="7F7F7F"/>
            <w:vAlign w:val="center"/>
            <w:hideMark/>
          </w:tcPr>
          <w:p w14:paraId="679B9124" w14:textId="77777777" w:rsidR="004041F4" w:rsidRPr="00A133F3" w:rsidRDefault="004041F4" w:rsidP="00636C4D">
            <w:pPr>
              <w:widowControl/>
              <w:wordWrap/>
              <w:autoSpaceDE/>
              <w:autoSpaceDN/>
              <w:ind w:right="112"/>
              <w:jc w:val="center"/>
              <w:rPr>
                <w:rFonts w:ascii="Arial" w:eastAsia="Malgun Gothic" w:hAnsi="Arial" w:cs="Arial"/>
                <w:color w:val="222222"/>
                <w:kern w:val="0"/>
                <w:sz w:val="18"/>
                <w:szCs w:val="18"/>
              </w:rPr>
            </w:pPr>
            <w:r w:rsidRPr="00A133F3">
              <w:rPr>
                <w:rFonts w:ascii="Arial" w:hAnsi="Arial"/>
                <w:b/>
                <w:color w:val="FFFFFF"/>
                <w:kern w:val="0"/>
                <w:sz w:val="22"/>
              </w:rPr>
              <w:t>FY 2016</w:t>
            </w:r>
          </w:p>
        </w:tc>
      </w:tr>
      <w:tr w:rsidR="004041F4" w:rsidRPr="00A133F3" w14:paraId="6D87D53A" w14:textId="77777777" w:rsidTr="00636C4D">
        <w:trPr>
          <w:trHeight w:val="363"/>
        </w:trPr>
        <w:tc>
          <w:tcPr>
            <w:tcW w:w="2550" w:type="dxa"/>
            <w:tcBorders>
              <w:top w:val="nil"/>
              <w:left w:val="nil"/>
              <w:bottom w:val="single" w:sz="6" w:space="0" w:color="auto"/>
              <w:right w:val="double" w:sz="4" w:space="0" w:color="auto"/>
            </w:tcBorders>
            <w:shd w:val="clear" w:color="auto" w:fill="auto"/>
            <w:vAlign w:val="center"/>
            <w:hideMark/>
          </w:tcPr>
          <w:p w14:paraId="0DC5537E" w14:textId="77777777" w:rsidR="004041F4" w:rsidRPr="00A133F3" w:rsidRDefault="004041F4" w:rsidP="00636C4D">
            <w:pPr>
              <w:widowControl/>
              <w:wordWrap/>
              <w:autoSpaceDE/>
              <w:autoSpaceDN/>
              <w:ind w:right="112"/>
              <w:jc w:val="center"/>
              <w:rPr>
                <w:rFonts w:ascii="Arial" w:eastAsia="Malgun Gothic" w:hAnsi="Arial" w:cs="Arial"/>
                <w:color w:val="222222"/>
                <w:kern w:val="0"/>
                <w:szCs w:val="18"/>
              </w:rPr>
            </w:pPr>
            <w:r w:rsidRPr="00A133F3">
              <w:rPr>
                <w:rFonts w:ascii="Arial" w:hAnsi="Arial"/>
                <w:b/>
                <w:color w:val="222222"/>
                <w:kern w:val="0"/>
              </w:rPr>
              <w:t>Sales</w:t>
            </w:r>
          </w:p>
        </w:tc>
        <w:tc>
          <w:tcPr>
            <w:tcW w:w="3120" w:type="dxa"/>
            <w:tcBorders>
              <w:top w:val="nil"/>
              <w:left w:val="nil"/>
              <w:bottom w:val="single" w:sz="6" w:space="0" w:color="auto"/>
              <w:right w:val="double" w:sz="4" w:space="0" w:color="auto"/>
            </w:tcBorders>
            <w:shd w:val="clear" w:color="auto" w:fill="auto"/>
            <w:hideMark/>
          </w:tcPr>
          <w:p w14:paraId="6620D37A" w14:textId="77777777" w:rsidR="004041F4" w:rsidRPr="00A133F3" w:rsidRDefault="004041F4" w:rsidP="00636C4D">
            <w:pPr>
              <w:widowControl/>
              <w:wordWrap/>
              <w:autoSpaceDE/>
              <w:autoSpaceDN/>
              <w:jc w:val="center"/>
              <w:rPr>
                <w:rFonts w:ascii="Arial" w:eastAsia="Malgun Gothic" w:hAnsi="Arial" w:cs="Arial"/>
                <w:color w:val="000000" w:themeColor="text1"/>
                <w:kern w:val="0"/>
                <w:szCs w:val="18"/>
              </w:rPr>
            </w:pPr>
            <w:r w:rsidRPr="00A133F3">
              <w:rPr>
                <w:rFonts w:ascii="Arial" w:hAnsi="Arial"/>
                <w:b/>
                <w:color w:val="000000" w:themeColor="text1"/>
                <w:kern w:val="0"/>
              </w:rPr>
              <w:t>5,681.1</w:t>
            </w:r>
          </w:p>
        </w:tc>
        <w:tc>
          <w:tcPr>
            <w:tcW w:w="3120" w:type="dxa"/>
            <w:tcBorders>
              <w:top w:val="nil"/>
              <w:left w:val="nil"/>
              <w:bottom w:val="single" w:sz="6" w:space="0" w:color="auto"/>
              <w:right w:val="nil"/>
            </w:tcBorders>
            <w:shd w:val="clear" w:color="auto" w:fill="auto"/>
            <w:hideMark/>
          </w:tcPr>
          <w:p w14:paraId="145DCCD5" w14:textId="77777777" w:rsidR="004041F4" w:rsidRPr="00A133F3" w:rsidRDefault="004041F4" w:rsidP="00636C4D">
            <w:pPr>
              <w:widowControl/>
              <w:wordWrap/>
              <w:autoSpaceDE/>
              <w:autoSpaceDN/>
              <w:jc w:val="center"/>
              <w:rPr>
                <w:rFonts w:ascii="Arial" w:eastAsia="Malgun Gothic" w:hAnsi="Arial" w:cs="Arial"/>
                <w:color w:val="000000" w:themeColor="text1"/>
                <w:kern w:val="0"/>
                <w:szCs w:val="18"/>
              </w:rPr>
            </w:pPr>
            <w:r w:rsidRPr="00A133F3">
              <w:rPr>
                <w:rFonts w:ascii="Arial" w:hAnsi="Arial"/>
                <w:b/>
                <w:color w:val="000000" w:themeColor="text1"/>
                <w:kern w:val="0"/>
              </w:rPr>
              <w:t>5,709.6</w:t>
            </w:r>
          </w:p>
        </w:tc>
      </w:tr>
      <w:tr w:rsidR="004041F4" w:rsidRPr="00A133F3" w14:paraId="72E6EE28" w14:textId="77777777" w:rsidTr="00636C4D">
        <w:trPr>
          <w:trHeight w:val="363"/>
        </w:trPr>
        <w:tc>
          <w:tcPr>
            <w:tcW w:w="2550" w:type="dxa"/>
            <w:tcBorders>
              <w:top w:val="nil"/>
              <w:left w:val="nil"/>
              <w:bottom w:val="single" w:sz="6" w:space="0" w:color="auto"/>
              <w:right w:val="double" w:sz="4" w:space="0" w:color="auto"/>
            </w:tcBorders>
            <w:shd w:val="clear" w:color="auto" w:fill="auto"/>
            <w:vAlign w:val="center"/>
            <w:hideMark/>
          </w:tcPr>
          <w:p w14:paraId="0F0C07B6" w14:textId="77777777" w:rsidR="004041F4" w:rsidRPr="00A133F3" w:rsidRDefault="004041F4" w:rsidP="00636C4D">
            <w:pPr>
              <w:widowControl/>
              <w:wordWrap/>
              <w:autoSpaceDE/>
              <w:autoSpaceDN/>
              <w:ind w:right="112"/>
              <w:jc w:val="center"/>
              <w:rPr>
                <w:rFonts w:ascii="Arial" w:eastAsia="Malgun Gothic" w:hAnsi="Arial" w:cs="Arial"/>
                <w:color w:val="222222"/>
                <w:kern w:val="0"/>
                <w:szCs w:val="18"/>
              </w:rPr>
            </w:pPr>
            <w:r w:rsidRPr="00A133F3">
              <w:rPr>
                <w:rFonts w:ascii="Arial" w:hAnsi="Arial"/>
                <w:b/>
                <w:color w:val="222222"/>
                <w:kern w:val="0"/>
              </w:rPr>
              <w:t>Operating Profit</w:t>
            </w:r>
          </w:p>
        </w:tc>
        <w:tc>
          <w:tcPr>
            <w:tcW w:w="3120" w:type="dxa"/>
            <w:tcBorders>
              <w:top w:val="nil"/>
              <w:left w:val="nil"/>
              <w:bottom w:val="single" w:sz="6" w:space="0" w:color="auto"/>
              <w:right w:val="double" w:sz="4" w:space="0" w:color="auto"/>
            </w:tcBorders>
            <w:shd w:val="clear" w:color="auto" w:fill="auto"/>
            <w:hideMark/>
          </w:tcPr>
          <w:p w14:paraId="5B908B7C" w14:textId="77777777" w:rsidR="004041F4" w:rsidRPr="00A133F3" w:rsidRDefault="004041F4" w:rsidP="00636C4D">
            <w:pPr>
              <w:widowControl/>
              <w:wordWrap/>
              <w:autoSpaceDE/>
              <w:autoSpaceDN/>
              <w:jc w:val="center"/>
              <w:rPr>
                <w:rFonts w:ascii="Arial" w:eastAsia="Malgun Gothic" w:hAnsi="Arial" w:cs="Arial"/>
                <w:color w:val="000000" w:themeColor="text1"/>
                <w:kern w:val="0"/>
                <w:szCs w:val="18"/>
              </w:rPr>
            </w:pPr>
            <w:r w:rsidRPr="00A133F3">
              <w:rPr>
                <w:rFonts w:ascii="Arial" w:hAnsi="Arial"/>
                <w:b/>
                <w:color w:val="000000" w:themeColor="text1"/>
                <w:kern w:val="0"/>
              </w:rPr>
              <w:t>782.1.</w:t>
            </w:r>
          </w:p>
        </w:tc>
        <w:tc>
          <w:tcPr>
            <w:tcW w:w="3120" w:type="dxa"/>
            <w:tcBorders>
              <w:top w:val="nil"/>
              <w:left w:val="nil"/>
              <w:bottom w:val="single" w:sz="6" w:space="0" w:color="auto"/>
              <w:right w:val="nil"/>
            </w:tcBorders>
            <w:shd w:val="clear" w:color="auto" w:fill="auto"/>
            <w:hideMark/>
          </w:tcPr>
          <w:p w14:paraId="534400FE" w14:textId="77777777" w:rsidR="004041F4" w:rsidRPr="00A133F3" w:rsidRDefault="004041F4" w:rsidP="00636C4D">
            <w:pPr>
              <w:widowControl/>
              <w:wordWrap/>
              <w:autoSpaceDE/>
              <w:autoSpaceDN/>
              <w:jc w:val="center"/>
              <w:rPr>
                <w:rFonts w:ascii="Arial" w:eastAsia="Malgun Gothic" w:hAnsi="Arial" w:cs="Arial"/>
                <w:color w:val="000000" w:themeColor="text1"/>
                <w:kern w:val="0"/>
                <w:szCs w:val="18"/>
              </w:rPr>
            </w:pPr>
            <w:r w:rsidRPr="00A133F3">
              <w:rPr>
                <w:rFonts w:ascii="Arial" w:hAnsi="Arial"/>
                <w:b/>
                <w:color w:val="000000" w:themeColor="text1"/>
                <w:kern w:val="0"/>
              </w:rPr>
              <w:t>951.1</w:t>
            </w:r>
          </w:p>
        </w:tc>
      </w:tr>
    </w:tbl>
    <w:p w14:paraId="204B653A" w14:textId="77777777" w:rsidR="004041F4" w:rsidRPr="00A133F3" w:rsidRDefault="004041F4" w:rsidP="004041F4">
      <w:pPr>
        <w:widowControl/>
        <w:wordWrap/>
        <w:autoSpaceDE/>
        <w:autoSpaceDN/>
        <w:spacing w:line="207" w:lineRule="atLeast"/>
        <w:ind w:left="142" w:right="112"/>
        <w:jc w:val="left"/>
        <w:rPr>
          <w:rFonts w:ascii="Malgun Gothic" w:eastAsia="Malgun Gothic" w:hAnsi="Malgun Gothic" w:cs="Gulim"/>
          <w:color w:val="500050"/>
          <w:kern w:val="0"/>
          <w:sz w:val="18"/>
          <w:szCs w:val="18"/>
          <w:shd w:val="clear" w:color="auto" w:fill="FFFFFF"/>
        </w:rPr>
      </w:pPr>
      <w:r w:rsidRPr="00A133F3">
        <w:rPr>
          <w:rFonts w:ascii="Arial" w:hAnsi="Arial"/>
          <w:color w:val="500050"/>
          <w:kern w:val="0"/>
          <w:sz w:val="22"/>
          <w:shd w:val="clear" w:color="auto" w:fill="FFFFFF"/>
        </w:rPr>
        <w:t> </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120"/>
        <w:gridCol w:w="3120"/>
      </w:tblGrid>
      <w:tr w:rsidR="004041F4" w:rsidRPr="00A133F3" w14:paraId="13581AE1" w14:textId="77777777" w:rsidTr="00636C4D">
        <w:trPr>
          <w:trHeight w:val="363"/>
        </w:trPr>
        <w:tc>
          <w:tcPr>
            <w:tcW w:w="2550" w:type="dxa"/>
            <w:tcBorders>
              <w:top w:val="single" w:sz="6" w:space="0" w:color="auto"/>
              <w:left w:val="nil"/>
              <w:bottom w:val="double" w:sz="4" w:space="0" w:color="auto"/>
              <w:right w:val="double" w:sz="4" w:space="0" w:color="auto"/>
            </w:tcBorders>
            <w:shd w:val="clear" w:color="auto" w:fill="7F7F7F"/>
            <w:vAlign w:val="center"/>
            <w:hideMark/>
          </w:tcPr>
          <w:p w14:paraId="07771CBE"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color w:val="FFFFFF"/>
                <w:kern w:val="0"/>
              </w:rPr>
              <w:t>(Unit: Million EUR)</w:t>
            </w:r>
          </w:p>
        </w:tc>
        <w:tc>
          <w:tcPr>
            <w:tcW w:w="3120" w:type="dxa"/>
            <w:tcBorders>
              <w:top w:val="single" w:sz="6" w:space="0" w:color="auto"/>
              <w:left w:val="nil"/>
              <w:bottom w:val="double" w:sz="4" w:space="0" w:color="auto"/>
              <w:right w:val="double" w:sz="4" w:space="0" w:color="auto"/>
            </w:tcBorders>
            <w:shd w:val="clear" w:color="auto" w:fill="7F7F7F"/>
            <w:vAlign w:val="center"/>
            <w:hideMark/>
          </w:tcPr>
          <w:p w14:paraId="7F96611D"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color w:val="FFFFFF"/>
                <w:kern w:val="0"/>
              </w:rPr>
              <w:t>FY 2015</w:t>
            </w:r>
          </w:p>
        </w:tc>
        <w:tc>
          <w:tcPr>
            <w:tcW w:w="3120" w:type="dxa"/>
            <w:tcBorders>
              <w:top w:val="single" w:sz="6" w:space="0" w:color="auto"/>
              <w:left w:val="nil"/>
              <w:bottom w:val="double" w:sz="4" w:space="0" w:color="auto"/>
              <w:right w:val="nil"/>
            </w:tcBorders>
            <w:shd w:val="clear" w:color="auto" w:fill="7F7F7F"/>
            <w:vAlign w:val="center"/>
            <w:hideMark/>
          </w:tcPr>
          <w:p w14:paraId="4718894D"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color w:val="FFFFFF"/>
                <w:kern w:val="0"/>
              </w:rPr>
              <w:t>FY 2016</w:t>
            </w:r>
          </w:p>
        </w:tc>
      </w:tr>
      <w:tr w:rsidR="004041F4" w:rsidRPr="00A133F3" w14:paraId="14DCD5E2" w14:textId="77777777" w:rsidTr="00636C4D">
        <w:trPr>
          <w:trHeight w:val="363"/>
        </w:trPr>
        <w:tc>
          <w:tcPr>
            <w:tcW w:w="2550" w:type="dxa"/>
            <w:tcBorders>
              <w:top w:val="nil"/>
              <w:left w:val="nil"/>
              <w:bottom w:val="single" w:sz="6" w:space="0" w:color="auto"/>
              <w:right w:val="double" w:sz="4" w:space="0" w:color="auto"/>
            </w:tcBorders>
            <w:shd w:val="clear" w:color="auto" w:fill="auto"/>
            <w:vAlign w:val="center"/>
            <w:hideMark/>
          </w:tcPr>
          <w:p w14:paraId="360BDD4A"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kern w:val="0"/>
              </w:rPr>
              <w:t>Sales</w:t>
            </w:r>
          </w:p>
        </w:tc>
        <w:tc>
          <w:tcPr>
            <w:tcW w:w="3120" w:type="dxa"/>
            <w:tcBorders>
              <w:top w:val="nil"/>
              <w:left w:val="nil"/>
              <w:bottom w:val="single" w:sz="6" w:space="0" w:color="auto"/>
              <w:right w:val="double" w:sz="4" w:space="0" w:color="auto"/>
            </w:tcBorders>
            <w:shd w:val="clear" w:color="auto" w:fill="auto"/>
            <w:vAlign w:val="center"/>
            <w:hideMark/>
          </w:tcPr>
          <w:p w14:paraId="00353887" w14:textId="77777777" w:rsidR="004041F4" w:rsidRPr="00A133F3" w:rsidRDefault="004041F4" w:rsidP="00636C4D">
            <w:pPr>
              <w:widowControl/>
              <w:wordWrap/>
              <w:autoSpaceDE/>
              <w:autoSpaceDN/>
              <w:jc w:val="center"/>
              <w:rPr>
                <w:rFonts w:ascii="Arial" w:eastAsia="Gulim" w:hAnsi="Arial" w:cs="Arial"/>
                <w:color w:val="000000" w:themeColor="text1"/>
                <w:kern w:val="0"/>
              </w:rPr>
            </w:pPr>
            <w:r w:rsidRPr="00A133F3">
              <w:rPr>
                <w:rFonts w:ascii="Arial" w:hAnsi="Arial"/>
                <w:b/>
                <w:color w:val="000000" w:themeColor="text1"/>
                <w:kern w:val="0"/>
              </w:rPr>
              <w:t>5,121.4</w:t>
            </w:r>
          </w:p>
        </w:tc>
        <w:tc>
          <w:tcPr>
            <w:tcW w:w="3120" w:type="dxa"/>
            <w:tcBorders>
              <w:top w:val="nil"/>
              <w:left w:val="nil"/>
              <w:bottom w:val="single" w:sz="6" w:space="0" w:color="auto"/>
              <w:right w:val="nil"/>
            </w:tcBorders>
            <w:shd w:val="clear" w:color="auto" w:fill="auto"/>
            <w:vAlign w:val="center"/>
            <w:hideMark/>
          </w:tcPr>
          <w:p w14:paraId="14C641F3" w14:textId="77777777" w:rsidR="004041F4" w:rsidRPr="00A133F3" w:rsidRDefault="004041F4" w:rsidP="00636C4D">
            <w:pPr>
              <w:widowControl/>
              <w:wordWrap/>
              <w:autoSpaceDE/>
              <w:autoSpaceDN/>
              <w:jc w:val="center"/>
              <w:rPr>
                <w:rFonts w:ascii="Arial" w:eastAsia="Gulim" w:hAnsi="Arial" w:cs="Arial"/>
                <w:color w:val="000000" w:themeColor="text1"/>
                <w:kern w:val="0"/>
              </w:rPr>
            </w:pPr>
            <w:r w:rsidRPr="00A133F3">
              <w:rPr>
                <w:rFonts w:ascii="Arial" w:hAnsi="Arial"/>
                <w:b/>
                <w:color w:val="000000" w:themeColor="text1"/>
                <w:kern w:val="0"/>
              </w:rPr>
              <w:t>5,163.3</w:t>
            </w:r>
          </w:p>
        </w:tc>
      </w:tr>
      <w:tr w:rsidR="004041F4" w:rsidRPr="00A133F3" w14:paraId="0029A390" w14:textId="77777777" w:rsidTr="00636C4D">
        <w:trPr>
          <w:trHeight w:val="363"/>
        </w:trPr>
        <w:tc>
          <w:tcPr>
            <w:tcW w:w="2550" w:type="dxa"/>
            <w:tcBorders>
              <w:top w:val="nil"/>
              <w:left w:val="nil"/>
              <w:bottom w:val="single" w:sz="6" w:space="0" w:color="auto"/>
              <w:right w:val="double" w:sz="4" w:space="0" w:color="auto"/>
            </w:tcBorders>
            <w:shd w:val="clear" w:color="auto" w:fill="auto"/>
            <w:vAlign w:val="center"/>
            <w:hideMark/>
          </w:tcPr>
          <w:p w14:paraId="7705EF55"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kern w:val="0"/>
              </w:rPr>
              <w:t>Operating Profit</w:t>
            </w:r>
          </w:p>
        </w:tc>
        <w:tc>
          <w:tcPr>
            <w:tcW w:w="3120" w:type="dxa"/>
            <w:tcBorders>
              <w:top w:val="nil"/>
              <w:left w:val="nil"/>
              <w:bottom w:val="single" w:sz="6" w:space="0" w:color="auto"/>
              <w:right w:val="double" w:sz="4" w:space="0" w:color="auto"/>
            </w:tcBorders>
            <w:shd w:val="clear" w:color="auto" w:fill="auto"/>
            <w:vAlign w:val="center"/>
            <w:hideMark/>
          </w:tcPr>
          <w:p w14:paraId="39BB9708" w14:textId="77777777" w:rsidR="004041F4" w:rsidRPr="00A133F3" w:rsidRDefault="004041F4" w:rsidP="00636C4D">
            <w:pPr>
              <w:widowControl/>
              <w:wordWrap/>
              <w:autoSpaceDE/>
              <w:autoSpaceDN/>
              <w:jc w:val="center"/>
              <w:rPr>
                <w:rFonts w:ascii="Arial" w:eastAsia="Gulim" w:hAnsi="Arial" w:cs="Arial"/>
                <w:color w:val="000000" w:themeColor="text1"/>
                <w:kern w:val="0"/>
              </w:rPr>
            </w:pPr>
            <w:r w:rsidRPr="00A133F3">
              <w:rPr>
                <w:rFonts w:ascii="Arial" w:hAnsi="Arial"/>
                <w:b/>
                <w:color w:val="000000" w:themeColor="text1"/>
                <w:kern w:val="0"/>
              </w:rPr>
              <w:t>705.0</w:t>
            </w:r>
          </w:p>
        </w:tc>
        <w:tc>
          <w:tcPr>
            <w:tcW w:w="3120" w:type="dxa"/>
            <w:tcBorders>
              <w:top w:val="nil"/>
              <w:left w:val="nil"/>
              <w:bottom w:val="single" w:sz="6" w:space="0" w:color="auto"/>
              <w:right w:val="nil"/>
            </w:tcBorders>
            <w:shd w:val="clear" w:color="auto" w:fill="auto"/>
            <w:vAlign w:val="center"/>
            <w:hideMark/>
          </w:tcPr>
          <w:p w14:paraId="6C9DE366" w14:textId="77777777" w:rsidR="004041F4" w:rsidRPr="00A133F3" w:rsidRDefault="004041F4" w:rsidP="00636C4D">
            <w:pPr>
              <w:widowControl/>
              <w:wordWrap/>
              <w:autoSpaceDE/>
              <w:autoSpaceDN/>
              <w:jc w:val="center"/>
              <w:rPr>
                <w:rFonts w:ascii="Arial" w:eastAsia="Gulim" w:hAnsi="Arial" w:cs="Arial"/>
                <w:color w:val="000000" w:themeColor="text1"/>
                <w:kern w:val="0"/>
              </w:rPr>
            </w:pPr>
            <w:r w:rsidRPr="00A133F3">
              <w:rPr>
                <w:rFonts w:ascii="Arial" w:hAnsi="Arial"/>
                <w:b/>
                <w:color w:val="000000" w:themeColor="text1"/>
                <w:kern w:val="0"/>
              </w:rPr>
              <w:t>860.1</w:t>
            </w:r>
          </w:p>
        </w:tc>
      </w:tr>
    </w:tbl>
    <w:p w14:paraId="5874872E" w14:textId="77777777" w:rsidR="004041F4" w:rsidRPr="00A133F3" w:rsidRDefault="004041F4" w:rsidP="004041F4">
      <w:pPr>
        <w:widowControl/>
        <w:wordWrap/>
        <w:autoSpaceDE/>
        <w:autoSpaceDN/>
        <w:spacing w:line="207" w:lineRule="atLeast"/>
        <w:ind w:left="142" w:right="112"/>
        <w:jc w:val="left"/>
        <w:rPr>
          <w:rFonts w:ascii="Gulim" w:eastAsia="Gulim" w:hAnsi="Gulim" w:cs="Gulim"/>
          <w:kern w:val="0"/>
          <w:sz w:val="24"/>
        </w:rPr>
      </w:pPr>
      <w:r w:rsidRPr="00A133F3">
        <w:rPr>
          <w:rFonts w:ascii="Arial" w:hAnsi="Arial"/>
          <w:color w:val="500050"/>
          <w:kern w:val="0"/>
          <w:sz w:val="22"/>
          <w:shd w:val="clear" w:color="auto" w:fill="FFFFFF"/>
        </w:rPr>
        <w:t> </w:t>
      </w:r>
    </w:p>
    <w:p w14:paraId="0972CE93" w14:textId="77777777" w:rsidR="004041F4" w:rsidRPr="00A133F3" w:rsidRDefault="004041F4" w:rsidP="004041F4">
      <w:pPr>
        <w:widowControl/>
        <w:wordWrap/>
        <w:autoSpaceDE/>
        <w:autoSpaceDN/>
        <w:spacing w:line="207" w:lineRule="atLeast"/>
        <w:ind w:left="142" w:right="112"/>
        <w:jc w:val="left"/>
        <w:rPr>
          <w:rFonts w:ascii="Malgun Gothic" w:eastAsia="Malgun Gothic" w:hAnsi="Malgun Gothic" w:cs="Gulim"/>
          <w:color w:val="000000" w:themeColor="text1"/>
          <w:kern w:val="0"/>
          <w:szCs w:val="20"/>
          <w:shd w:val="clear" w:color="auto" w:fill="FFFFFF"/>
        </w:rPr>
      </w:pPr>
      <w:r w:rsidRPr="00A133F3">
        <w:rPr>
          <w:rFonts w:ascii="Arial" w:hAnsi="Arial"/>
          <w:b/>
          <w:i/>
          <w:color w:val="000000" w:themeColor="text1"/>
          <w:kern w:val="0"/>
          <w:shd w:val="clear" w:color="auto" w:fill="FFFFFF"/>
        </w:rPr>
        <w:t>*Exchange Rates:</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120"/>
        <w:gridCol w:w="3120"/>
      </w:tblGrid>
      <w:tr w:rsidR="004041F4" w:rsidRPr="00A133F3" w14:paraId="6B971A8A" w14:textId="77777777" w:rsidTr="00636C4D">
        <w:trPr>
          <w:trHeight w:val="363"/>
        </w:trPr>
        <w:tc>
          <w:tcPr>
            <w:tcW w:w="2550" w:type="dxa"/>
            <w:tcBorders>
              <w:top w:val="single" w:sz="6" w:space="0" w:color="auto"/>
              <w:left w:val="nil"/>
              <w:bottom w:val="double" w:sz="4" w:space="0" w:color="auto"/>
              <w:right w:val="double" w:sz="4" w:space="0" w:color="auto"/>
            </w:tcBorders>
            <w:shd w:val="clear" w:color="auto" w:fill="7F7F7F"/>
            <w:vAlign w:val="center"/>
            <w:hideMark/>
          </w:tcPr>
          <w:p w14:paraId="146B9D9E"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color w:val="FFFFFF"/>
                <w:kern w:val="0"/>
              </w:rPr>
              <w:t> </w:t>
            </w:r>
          </w:p>
        </w:tc>
        <w:tc>
          <w:tcPr>
            <w:tcW w:w="3120" w:type="dxa"/>
            <w:tcBorders>
              <w:top w:val="single" w:sz="6" w:space="0" w:color="auto"/>
              <w:left w:val="nil"/>
              <w:bottom w:val="double" w:sz="4" w:space="0" w:color="auto"/>
              <w:right w:val="double" w:sz="4" w:space="0" w:color="auto"/>
            </w:tcBorders>
            <w:shd w:val="clear" w:color="auto" w:fill="7F7F7F"/>
            <w:vAlign w:val="center"/>
            <w:hideMark/>
          </w:tcPr>
          <w:p w14:paraId="7F8A836C"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color w:val="FFFFFF"/>
                <w:kern w:val="0"/>
              </w:rPr>
              <w:t>FY 2015</w:t>
            </w:r>
          </w:p>
        </w:tc>
        <w:tc>
          <w:tcPr>
            <w:tcW w:w="3120" w:type="dxa"/>
            <w:tcBorders>
              <w:top w:val="single" w:sz="6" w:space="0" w:color="auto"/>
              <w:left w:val="nil"/>
              <w:bottom w:val="double" w:sz="4" w:space="0" w:color="auto"/>
              <w:right w:val="nil"/>
            </w:tcBorders>
            <w:shd w:val="clear" w:color="auto" w:fill="7F7F7F"/>
            <w:vAlign w:val="center"/>
            <w:hideMark/>
          </w:tcPr>
          <w:p w14:paraId="7FE0BBF1"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color w:val="FFFFFF"/>
                <w:kern w:val="0"/>
              </w:rPr>
              <w:t>FY 2016</w:t>
            </w:r>
          </w:p>
        </w:tc>
      </w:tr>
      <w:tr w:rsidR="004041F4" w:rsidRPr="00A133F3" w14:paraId="0294E542" w14:textId="77777777" w:rsidTr="00636C4D">
        <w:trPr>
          <w:trHeight w:val="363"/>
        </w:trPr>
        <w:tc>
          <w:tcPr>
            <w:tcW w:w="2550" w:type="dxa"/>
            <w:tcBorders>
              <w:top w:val="nil"/>
              <w:left w:val="nil"/>
              <w:bottom w:val="single" w:sz="6" w:space="0" w:color="auto"/>
              <w:right w:val="double" w:sz="4" w:space="0" w:color="auto"/>
            </w:tcBorders>
            <w:shd w:val="clear" w:color="auto" w:fill="auto"/>
            <w:vAlign w:val="center"/>
            <w:hideMark/>
          </w:tcPr>
          <w:p w14:paraId="1EE20211"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kern w:val="0"/>
              </w:rPr>
              <w:t>USD / KRW</w:t>
            </w:r>
          </w:p>
        </w:tc>
        <w:tc>
          <w:tcPr>
            <w:tcW w:w="3120" w:type="dxa"/>
            <w:tcBorders>
              <w:top w:val="nil"/>
              <w:left w:val="nil"/>
              <w:bottom w:val="single" w:sz="6" w:space="0" w:color="auto"/>
              <w:right w:val="double" w:sz="4" w:space="0" w:color="auto"/>
            </w:tcBorders>
            <w:shd w:val="clear" w:color="auto" w:fill="auto"/>
            <w:vAlign w:val="center"/>
            <w:hideMark/>
          </w:tcPr>
          <w:p w14:paraId="5F76093C" w14:textId="77777777" w:rsidR="004041F4" w:rsidRPr="00A133F3" w:rsidRDefault="004041F4" w:rsidP="00636C4D">
            <w:pPr>
              <w:widowControl/>
              <w:wordWrap/>
              <w:autoSpaceDE/>
              <w:autoSpaceDN/>
              <w:ind w:right="160"/>
              <w:jc w:val="center"/>
              <w:rPr>
                <w:rFonts w:ascii="Arial" w:eastAsia="Gulim" w:hAnsi="Arial" w:cs="Arial"/>
                <w:color w:val="000000" w:themeColor="text1"/>
                <w:kern w:val="0"/>
              </w:rPr>
            </w:pPr>
            <w:r w:rsidRPr="00A133F3">
              <w:rPr>
                <w:rFonts w:ascii="Arial" w:hAnsi="Arial"/>
                <w:b/>
                <w:color w:val="000000" w:themeColor="text1"/>
                <w:kern w:val="0"/>
              </w:rPr>
              <w:t>1,131.49</w:t>
            </w:r>
          </w:p>
        </w:tc>
        <w:tc>
          <w:tcPr>
            <w:tcW w:w="3120" w:type="dxa"/>
            <w:tcBorders>
              <w:top w:val="nil"/>
              <w:left w:val="nil"/>
              <w:bottom w:val="single" w:sz="6" w:space="0" w:color="auto"/>
              <w:right w:val="nil"/>
            </w:tcBorders>
            <w:shd w:val="clear" w:color="auto" w:fill="auto"/>
            <w:vAlign w:val="center"/>
            <w:hideMark/>
          </w:tcPr>
          <w:p w14:paraId="4E4D3271" w14:textId="77777777" w:rsidR="004041F4" w:rsidRPr="00A133F3" w:rsidRDefault="004041F4" w:rsidP="00636C4D">
            <w:pPr>
              <w:widowControl/>
              <w:wordWrap/>
              <w:autoSpaceDE/>
              <w:autoSpaceDN/>
              <w:ind w:right="160"/>
              <w:jc w:val="center"/>
              <w:rPr>
                <w:rFonts w:ascii="Arial" w:eastAsia="Gulim" w:hAnsi="Arial" w:cs="Arial"/>
                <w:color w:val="000000" w:themeColor="text1"/>
                <w:kern w:val="0"/>
              </w:rPr>
            </w:pPr>
            <w:r w:rsidRPr="00A133F3">
              <w:rPr>
                <w:rFonts w:ascii="Arial" w:hAnsi="Arial"/>
                <w:b/>
                <w:color w:val="000000" w:themeColor="text1"/>
                <w:kern w:val="0"/>
              </w:rPr>
              <w:t>1,160.50</w:t>
            </w:r>
          </w:p>
        </w:tc>
      </w:tr>
      <w:tr w:rsidR="004041F4" w:rsidRPr="00A133F3" w14:paraId="2541B1FB" w14:textId="77777777" w:rsidTr="00636C4D">
        <w:trPr>
          <w:trHeight w:val="363"/>
        </w:trPr>
        <w:tc>
          <w:tcPr>
            <w:tcW w:w="2550" w:type="dxa"/>
            <w:tcBorders>
              <w:top w:val="nil"/>
              <w:left w:val="nil"/>
              <w:bottom w:val="single" w:sz="6" w:space="0" w:color="auto"/>
              <w:right w:val="double" w:sz="4" w:space="0" w:color="auto"/>
            </w:tcBorders>
            <w:shd w:val="clear" w:color="auto" w:fill="auto"/>
            <w:vAlign w:val="center"/>
            <w:hideMark/>
          </w:tcPr>
          <w:p w14:paraId="252BBE0A" w14:textId="77777777" w:rsidR="004041F4" w:rsidRPr="00A133F3" w:rsidRDefault="004041F4" w:rsidP="00636C4D">
            <w:pPr>
              <w:widowControl/>
              <w:wordWrap/>
              <w:autoSpaceDE/>
              <w:autoSpaceDN/>
              <w:ind w:right="112"/>
              <w:jc w:val="center"/>
              <w:rPr>
                <w:rFonts w:ascii="Arial" w:eastAsia="Gulim" w:hAnsi="Arial" w:cs="Arial"/>
                <w:kern w:val="0"/>
              </w:rPr>
            </w:pPr>
            <w:r w:rsidRPr="00A133F3">
              <w:rPr>
                <w:rFonts w:ascii="Arial" w:hAnsi="Arial"/>
                <w:b/>
                <w:kern w:val="0"/>
              </w:rPr>
              <w:t>EUR / KRW</w:t>
            </w:r>
          </w:p>
        </w:tc>
        <w:tc>
          <w:tcPr>
            <w:tcW w:w="3120" w:type="dxa"/>
            <w:tcBorders>
              <w:top w:val="nil"/>
              <w:left w:val="nil"/>
              <w:bottom w:val="single" w:sz="6" w:space="0" w:color="auto"/>
              <w:right w:val="double" w:sz="4" w:space="0" w:color="auto"/>
            </w:tcBorders>
            <w:shd w:val="clear" w:color="auto" w:fill="auto"/>
            <w:vAlign w:val="center"/>
            <w:hideMark/>
          </w:tcPr>
          <w:p w14:paraId="1A264DCB" w14:textId="77777777" w:rsidR="004041F4" w:rsidRPr="00A133F3" w:rsidRDefault="004041F4" w:rsidP="00636C4D">
            <w:pPr>
              <w:widowControl/>
              <w:wordWrap/>
              <w:autoSpaceDE/>
              <w:autoSpaceDN/>
              <w:ind w:right="160"/>
              <w:jc w:val="center"/>
              <w:rPr>
                <w:rFonts w:ascii="Arial" w:eastAsia="Gulim" w:hAnsi="Arial" w:cs="Arial"/>
                <w:color w:val="000000" w:themeColor="text1"/>
                <w:kern w:val="0"/>
              </w:rPr>
            </w:pPr>
            <w:r w:rsidRPr="00A133F3">
              <w:rPr>
                <w:rFonts w:ascii="Arial" w:hAnsi="Arial"/>
                <w:b/>
                <w:color w:val="000000" w:themeColor="text1"/>
                <w:kern w:val="0"/>
              </w:rPr>
              <w:t>1,255.16</w:t>
            </w:r>
          </w:p>
        </w:tc>
        <w:tc>
          <w:tcPr>
            <w:tcW w:w="3120" w:type="dxa"/>
            <w:tcBorders>
              <w:top w:val="nil"/>
              <w:left w:val="nil"/>
              <w:bottom w:val="single" w:sz="6" w:space="0" w:color="auto"/>
              <w:right w:val="nil"/>
            </w:tcBorders>
            <w:shd w:val="clear" w:color="auto" w:fill="auto"/>
            <w:vAlign w:val="center"/>
            <w:hideMark/>
          </w:tcPr>
          <w:p w14:paraId="4A832C27" w14:textId="77777777" w:rsidR="004041F4" w:rsidRPr="00A133F3" w:rsidRDefault="004041F4" w:rsidP="00636C4D">
            <w:pPr>
              <w:widowControl/>
              <w:wordWrap/>
              <w:autoSpaceDE/>
              <w:autoSpaceDN/>
              <w:ind w:right="160"/>
              <w:jc w:val="center"/>
              <w:rPr>
                <w:rFonts w:ascii="Arial" w:eastAsia="Gulim" w:hAnsi="Arial" w:cs="Arial"/>
                <w:color w:val="000000" w:themeColor="text1"/>
                <w:kern w:val="0"/>
              </w:rPr>
            </w:pPr>
            <w:r w:rsidRPr="00A133F3">
              <w:rPr>
                <w:rFonts w:ascii="Arial" w:hAnsi="Arial"/>
                <w:b/>
                <w:color w:val="000000" w:themeColor="text1"/>
                <w:kern w:val="0"/>
              </w:rPr>
              <w:t>1,283.30</w:t>
            </w:r>
          </w:p>
        </w:tc>
      </w:tr>
    </w:tbl>
    <w:p w14:paraId="4D4F164B" w14:textId="14987945" w:rsidR="00200EAE" w:rsidRPr="00A86F4E" w:rsidRDefault="00950A55" w:rsidP="00950A55">
      <w:pPr>
        <w:wordWrap/>
        <w:ind w:firstLineChars="50" w:firstLine="90"/>
        <w:rPr>
          <w:rFonts w:ascii="Arial" w:hAnsi="Arial" w:cs="Arial"/>
          <w:i/>
          <w:iCs/>
          <w:sz w:val="18"/>
          <w:szCs w:val="18"/>
          <w:lang w:val="en-US"/>
        </w:rPr>
      </w:pPr>
      <w:r w:rsidRPr="00A86F4E">
        <w:rPr>
          <w:rFonts w:ascii="Arial" w:hAnsi="Arial"/>
          <w:i/>
          <w:sz w:val="18"/>
          <w:lang w:val="en-US"/>
        </w:rPr>
        <w:lastRenderedPageBreak/>
        <w:t xml:space="preserve">(NOTE: Average exchange rates for the given </w:t>
      </w:r>
      <w:r w:rsidRPr="00A86F4E">
        <w:rPr>
          <w:rFonts w:ascii="Arial" w:hAnsi="Arial" w:hint="eastAsia"/>
          <w:i/>
          <w:sz w:val="18"/>
          <w:lang w:val="en-US"/>
        </w:rPr>
        <w:t>annual</w:t>
      </w:r>
      <w:r w:rsidRPr="00A86F4E">
        <w:rPr>
          <w:rFonts w:ascii="Arial" w:hAnsi="Arial"/>
          <w:i/>
          <w:sz w:val="18"/>
          <w:lang w:val="en-US"/>
        </w:rPr>
        <w:t xml:space="preserve"> period, retrieved from Korea Exchange Bank)</w:t>
      </w:r>
    </w:p>
    <w:p w14:paraId="2D658176" w14:textId="77777777" w:rsidR="00086B43" w:rsidRDefault="00086B43" w:rsidP="00086B43">
      <w:pPr>
        <w:widowControl/>
        <w:wordWrap/>
        <w:autoSpaceDE/>
        <w:autoSpaceDN/>
        <w:jc w:val="left"/>
        <w:rPr>
          <w:lang w:val="en-US"/>
        </w:rPr>
      </w:pPr>
    </w:p>
    <w:p w14:paraId="7AA95A55" w14:textId="77777777" w:rsidR="00714197" w:rsidRPr="00E43F06" w:rsidRDefault="00714197" w:rsidP="00714197">
      <w:pPr>
        <w:wordWrap/>
        <w:rPr>
          <w:rFonts w:ascii="Times New Roman"/>
          <w:b/>
          <w:bCs/>
          <w:sz w:val="21"/>
          <w:szCs w:val="21"/>
        </w:rPr>
      </w:pPr>
      <w:r w:rsidRPr="00E43F06">
        <w:rPr>
          <w:rFonts w:ascii="Times New Roman"/>
          <w:b/>
          <w:sz w:val="21"/>
          <w:szCs w:val="21"/>
        </w:rPr>
        <w:t>O firmie Hankook</w:t>
      </w:r>
    </w:p>
    <w:p w14:paraId="4DFB73BA" w14:textId="77777777" w:rsidR="00714197" w:rsidRPr="00E43F06" w:rsidRDefault="00714197" w:rsidP="00714197">
      <w:pPr>
        <w:wordWrap/>
        <w:rPr>
          <w:rFonts w:ascii="Times New Roman"/>
          <w:b/>
          <w:bCs/>
          <w:sz w:val="21"/>
          <w:szCs w:val="21"/>
        </w:rPr>
      </w:pPr>
    </w:p>
    <w:p w14:paraId="4293825C" w14:textId="77777777" w:rsidR="00714197" w:rsidRPr="00E43F06" w:rsidRDefault="00714197" w:rsidP="00714197">
      <w:pPr>
        <w:suppressAutoHyphens/>
        <w:wordWrap/>
        <w:rPr>
          <w:rFonts w:ascii="Times New Roman"/>
          <w:kern w:val="0"/>
          <w:sz w:val="21"/>
          <w:szCs w:val="21"/>
        </w:rPr>
      </w:pPr>
      <w:r w:rsidRPr="00E43F06">
        <w:rPr>
          <w:rFonts w:ascii="Times New Roman"/>
          <w:kern w:val="0"/>
          <w:sz w:val="21"/>
          <w:szCs w:val="21"/>
        </w:rPr>
        <w:t>Hankook, jako jeden z pięciu wiodących pod względem ilościowym producentów opon na świecie, produkuje innowacyjne, wysokiej klasy opony radialne w segmencie premium do samochodów osobowych, SUV-ów, pojazdów terenowych, lekkich samochodów ciężarowych, samochodów kempingowych, pojazdów ciężarowych, autobusów i samochodowego s</w:t>
      </w:r>
      <w:r>
        <w:rPr>
          <w:rFonts w:ascii="Times New Roman"/>
          <w:kern w:val="0"/>
          <w:sz w:val="21"/>
          <w:szCs w:val="21"/>
        </w:rPr>
        <w:t>portu motorowego (wyścigi</w:t>
      </w:r>
      <w:r w:rsidRPr="00E43F06">
        <w:rPr>
          <w:rFonts w:ascii="Times New Roman"/>
          <w:kern w:val="0"/>
          <w:sz w:val="21"/>
          <w:szCs w:val="21"/>
        </w:rPr>
        <w:t>, rajdy).</w:t>
      </w:r>
    </w:p>
    <w:p w14:paraId="2FFCCA75" w14:textId="77777777" w:rsidR="00714197" w:rsidRPr="00E43F06" w:rsidRDefault="00714197" w:rsidP="00714197">
      <w:pPr>
        <w:suppressAutoHyphens/>
        <w:wordWrap/>
        <w:rPr>
          <w:rFonts w:ascii="Times New Roman"/>
          <w:kern w:val="0"/>
          <w:sz w:val="21"/>
          <w:szCs w:val="21"/>
        </w:rPr>
      </w:pPr>
    </w:p>
    <w:p w14:paraId="0FEFA57A" w14:textId="77777777" w:rsidR="00714197" w:rsidRPr="00E43F06" w:rsidRDefault="00714197" w:rsidP="00714197">
      <w:pPr>
        <w:suppressAutoHyphens/>
        <w:wordWrap/>
        <w:rPr>
          <w:rFonts w:ascii="Times New Roman"/>
          <w:kern w:val="0"/>
          <w:sz w:val="21"/>
          <w:szCs w:val="21"/>
        </w:rPr>
      </w:pPr>
      <w:r w:rsidRPr="00E43F06">
        <w:rPr>
          <w:rFonts w:ascii="Times New Roman"/>
          <w:kern w:val="0"/>
          <w:sz w:val="21"/>
          <w:szCs w:val="21"/>
        </w:rPr>
        <w:t>Hankook stale inwestuje w badania i rozwój, aby oferować swoim klientom niezmiennie wysoką jakość w połączeniu z technologiczną doskonałością. W pięciu mieszczących się na całym świecie centrach rozwoju i siedmiu fabrykach, przedsiębiorstwo to konstruuje i produkuje ogumienie, skrojone na miarę wymagań regionalnych rynków. W Europie, koncepcje opon przeznaczone na rynki lokalne i na wyposażenie fabryczne, są opracowywane zgodnie ze standardami wiodących, europejskich producentów pojazdów w Centrum Technicznym Hankook, w niemieckim Hanowerze. Produkcja opon odbywa się między innymi w nowoczesnej europejskiej fabryce w węgierskiej miejscowości Rácalmás, której uroczyste otwarcie świętowano w 2007 roku i która od tamtej pory podlega stałemu rozwojowi. Obecnie ponad 3000 zatrudnionych tam pracowników produkuje rocznie nawet 19 milionów opon do pojazdów osobowych, SUV-ów i lekkich pojazdów ciężarowych.</w:t>
      </w:r>
    </w:p>
    <w:p w14:paraId="77ABEAEB" w14:textId="77777777" w:rsidR="00714197" w:rsidRPr="00E43F06" w:rsidRDefault="00714197" w:rsidP="00714197">
      <w:pPr>
        <w:suppressAutoHyphens/>
        <w:wordWrap/>
        <w:rPr>
          <w:rFonts w:ascii="Times New Roman"/>
          <w:kern w:val="0"/>
          <w:sz w:val="21"/>
          <w:szCs w:val="21"/>
        </w:rPr>
      </w:pPr>
    </w:p>
    <w:p w14:paraId="19604304" w14:textId="77777777" w:rsidR="00714197" w:rsidRPr="00E43F06" w:rsidRDefault="00714197" w:rsidP="00714197">
      <w:pPr>
        <w:suppressAutoHyphens/>
        <w:wordWrap/>
        <w:rPr>
          <w:rFonts w:ascii="Times New Roman"/>
          <w:kern w:val="0"/>
          <w:sz w:val="21"/>
          <w:szCs w:val="21"/>
        </w:rPr>
      </w:pPr>
      <w:r w:rsidRPr="00E43F06">
        <w:rPr>
          <w:rFonts w:ascii="Times New Roman"/>
          <w:kern w:val="0"/>
          <w:sz w:val="21"/>
          <w:szCs w:val="21"/>
        </w:rPr>
        <w:t>Europejska i niemiecka centrala producenta opon mieści się w Neu-Isenburg koło Frankfurtu nad Menem. Pozostałe siedziby Hankook na terenie Europy znajdują się w Wielkiej Brytanii, Francji, we Włoszech, Hiszpanii, Holandii, na Węgrzech, w Czechach, Rosji, Turcji, Szwecji i Polsce. Opony Hankook są sprzedawane bezpośrednio przez regionalnych dystrybutorów w wielu innych europejskich krajach. Przedsiębiorstwo zatrudnia na całym świecie 22 000 pracowników i dostarcza swoje produkty do ponad 180 krajów. Wiodący producenci motoryzacyjni doceniają jakość opon Hankook, czego dowodem jest ich montaż na fabrycznym wyposażeniu. Blisko 30% globalnych obrotów firmy jest generowane w Europie i we Wspólnocie Niepodległych Państw.</w:t>
      </w:r>
    </w:p>
    <w:p w14:paraId="1CF7BDDB" w14:textId="77777777" w:rsidR="00714197" w:rsidRPr="00E43F06" w:rsidRDefault="00714197" w:rsidP="00714197">
      <w:pPr>
        <w:wordWrap/>
        <w:snapToGrid w:val="0"/>
        <w:spacing w:line="276" w:lineRule="auto"/>
        <w:rPr>
          <w:rFonts w:ascii="Times New Roman"/>
          <w:bCs/>
          <w:kern w:val="0"/>
          <w:sz w:val="21"/>
          <w:szCs w:val="21"/>
        </w:rPr>
      </w:pPr>
    </w:p>
    <w:p w14:paraId="673B4662" w14:textId="77777777" w:rsidR="00714197" w:rsidRPr="006A1C94" w:rsidRDefault="00714197" w:rsidP="00714197">
      <w:pPr>
        <w:wordWrap/>
        <w:snapToGrid w:val="0"/>
        <w:spacing w:line="276" w:lineRule="auto"/>
        <w:rPr>
          <w:rFonts w:ascii="Times New Roman"/>
          <w:bCs/>
          <w:kern w:val="0"/>
          <w:szCs w:val="20"/>
        </w:rPr>
      </w:pPr>
      <w:r w:rsidRPr="006A1C94">
        <w:rPr>
          <w:rFonts w:ascii="Times New Roman"/>
          <w:kern w:val="0"/>
          <w:szCs w:val="20"/>
        </w:rPr>
        <w:t xml:space="preserve">Więcej informacji znajdą Państwo na stronie </w:t>
      </w:r>
      <w:hyperlink r:id="rId8" w:history="1">
        <w:r w:rsidRPr="006A1C94">
          <w:rPr>
            <w:rStyle w:val="Hyperlink"/>
            <w:rFonts w:ascii="Times New Roman"/>
            <w:szCs w:val="20"/>
          </w:rPr>
          <w:t>www.hankooktire-mediacenter.com</w:t>
        </w:r>
        <w:r w:rsidRPr="006A1C94">
          <w:rPr>
            <w:rStyle w:val="Hyperlink"/>
            <w:rFonts w:ascii="Times New Roman"/>
            <w:kern w:val="0"/>
            <w:szCs w:val="20"/>
          </w:rPr>
          <w:t>l</w:t>
        </w:r>
      </w:hyperlink>
      <w:r w:rsidRPr="006A1C94">
        <w:rPr>
          <w:rFonts w:ascii="Times New Roman"/>
          <w:kern w:val="0"/>
          <w:szCs w:val="20"/>
        </w:rPr>
        <w:t xml:space="preserve"> lub </w:t>
      </w:r>
      <w:hyperlink r:id="rId9" w:history="1">
        <w:r w:rsidRPr="006A1C94">
          <w:rPr>
            <w:rFonts w:ascii="Times New Roman"/>
            <w:color w:val="0000FF"/>
            <w:kern w:val="0"/>
            <w:szCs w:val="20"/>
            <w:u w:val="single"/>
          </w:rPr>
          <w:t>www.hankooktire-eu.com</w:t>
        </w:r>
      </w:hyperlink>
    </w:p>
    <w:p w14:paraId="680816E9" w14:textId="77777777" w:rsidR="00714197" w:rsidRPr="006A1C94" w:rsidRDefault="00714197" w:rsidP="00714197">
      <w:pPr>
        <w:wordWrap/>
        <w:snapToGrid w:val="0"/>
        <w:spacing w:line="276" w:lineRule="auto"/>
        <w:rPr>
          <w:rFonts w:ascii="Times New Roman"/>
          <w:kern w:val="0"/>
          <w:sz w:val="21"/>
          <w:szCs w:val="21"/>
        </w:rPr>
      </w:pPr>
    </w:p>
    <w:tbl>
      <w:tblPr>
        <w:tblW w:w="11192" w:type="dxa"/>
        <w:tblInd w:w="108" w:type="dxa"/>
        <w:shd w:val="clear" w:color="auto" w:fill="F2F2F2"/>
        <w:tblLook w:val="04A0" w:firstRow="1" w:lastRow="0" w:firstColumn="1" w:lastColumn="0" w:noHBand="0" w:noVBand="1"/>
      </w:tblPr>
      <w:tblGrid>
        <w:gridCol w:w="3153"/>
        <w:gridCol w:w="6284"/>
        <w:gridCol w:w="1755"/>
      </w:tblGrid>
      <w:tr w:rsidR="00714197" w:rsidRPr="009A3FEF" w14:paraId="55664327" w14:textId="77777777" w:rsidTr="00D91E9E">
        <w:trPr>
          <w:gridAfter w:val="1"/>
          <w:wAfter w:w="1755" w:type="dxa"/>
        </w:trPr>
        <w:tc>
          <w:tcPr>
            <w:tcW w:w="9437" w:type="dxa"/>
            <w:gridSpan w:val="2"/>
            <w:shd w:val="clear" w:color="auto" w:fill="F2F2F2"/>
          </w:tcPr>
          <w:p w14:paraId="3EFBEDF8" w14:textId="77777777" w:rsidR="00714197" w:rsidRPr="002058BF" w:rsidRDefault="00714197" w:rsidP="009828CB">
            <w:pPr>
              <w:wordWrap/>
              <w:spacing w:line="276" w:lineRule="auto"/>
              <w:ind w:left="-108"/>
              <w:rPr>
                <w:rFonts w:ascii="Times New Roman"/>
                <w:b/>
                <w:bCs/>
                <w:sz w:val="21"/>
                <w:szCs w:val="21"/>
                <w:u w:val="single"/>
                <w:lang w:val="en-US"/>
              </w:rPr>
            </w:pPr>
            <w:proofErr w:type="spellStart"/>
            <w:r>
              <w:rPr>
                <w:rFonts w:ascii="Times New Roman"/>
                <w:b/>
                <w:sz w:val="21"/>
                <w:u w:val="single"/>
                <w:lang w:val="en-US"/>
              </w:rPr>
              <w:t>Kontakt</w:t>
            </w:r>
            <w:proofErr w:type="spellEnd"/>
            <w:r w:rsidRPr="002058BF">
              <w:rPr>
                <w:rFonts w:ascii="Times New Roman"/>
                <w:b/>
                <w:sz w:val="21"/>
                <w:u w:val="single"/>
                <w:lang w:val="en-US"/>
              </w:rPr>
              <w:t>:</w:t>
            </w:r>
          </w:p>
          <w:p w14:paraId="430C6BE5" w14:textId="77777777" w:rsidR="00714197" w:rsidRDefault="00714197" w:rsidP="00D91E9E">
            <w:pPr>
              <w:wordWrap/>
              <w:spacing w:line="276" w:lineRule="auto"/>
              <w:ind w:left="-108"/>
              <w:rPr>
                <w:rFonts w:ascii="Times New Roman"/>
                <w:sz w:val="16"/>
              </w:rPr>
            </w:pPr>
            <w:r w:rsidRPr="002058BF">
              <w:rPr>
                <w:rFonts w:ascii="Times New Roman"/>
                <w:b/>
                <w:sz w:val="16"/>
                <w:lang w:val="en-US"/>
              </w:rPr>
              <w:t xml:space="preserve">Hankook Tire Europe GmbH | </w:t>
            </w:r>
            <w:r w:rsidRPr="002058BF">
              <w:rPr>
                <w:rFonts w:ascii="Times New Roman"/>
                <w:sz w:val="16"/>
                <w:lang w:val="en-US"/>
              </w:rPr>
              <w:t>Corporate Communications Europe/CIS</w:t>
            </w:r>
            <w:r w:rsidRPr="002058BF">
              <w:rPr>
                <w:rFonts w:ascii="Times New Roman"/>
                <w:b/>
                <w:sz w:val="16"/>
                <w:lang w:val="en-US"/>
              </w:rPr>
              <w:t xml:space="preserve"> | </w:t>
            </w:r>
            <w:proofErr w:type="spellStart"/>
            <w:r w:rsidRPr="002058BF">
              <w:rPr>
                <w:rFonts w:ascii="Times New Roman"/>
                <w:sz w:val="16"/>
                <w:lang w:val="en-US"/>
              </w:rPr>
              <w:t>Siemensstr</w:t>
            </w:r>
            <w:proofErr w:type="spellEnd"/>
            <w:r w:rsidRPr="002058BF">
              <w:rPr>
                <w:rFonts w:ascii="Times New Roman"/>
                <w:sz w:val="16"/>
                <w:lang w:val="en-US"/>
              </w:rPr>
              <w:t xml:space="preserve">. </w:t>
            </w:r>
            <w:r w:rsidRPr="009A3FEF">
              <w:rPr>
                <w:rFonts w:ascii="Times New Roman"/>
                <w:sz w:val="16"/>
              </w:rPr>
              <w:t>5a, 63263 Neu-Isenburg</w:t>
            </w:r>
            <w:r w:rsidRPr="009A3FEF">
              <w:rPr>
                <w:rFonts w:ascii="Times New Roman"/>
                <w:b/>
                <w:sz w:val="16"/>
              </w:rPr>
              <w:t xml:space="preserve"> | </w:t>
            </w:r>
            <w:r w:rsidRPr="009A3FEF">
              <w:rPr>
                <w:rFonts w:ascii="Times New Roman"/>
                <w:sz w:val="16"/>
              </w:rPr>
              <w:t>Germany</w:t>
            </w:r>
          </w:p>
          <w:p w14:paraId="2E06C953" w14:textId="797971B7" w:rsidR="00D91E9E" w:rsidRPr="00D91E9E" w:rsidRDefault="00D91E9E" w:rsidP="00D91E9E">
            <w:pPr>
              <w:wordWrap/>
              <w:spacing w:line="276" w:lineRule="auto"/>
              <w:ind w:left="-108"/>
              <w:rPr>
                <w:rFonts w:ascii="Times New Roman"/>
                <w:sz w:val="16"/>
                <w:szCs w:val="16"/>
              </w:rPr>
            </w:pPr>
          </w:p>
        </w:tc>
      </w:tr>
      <w:tr w:rsidR="00D91E9E" w:rsidRPr="009A3FEF" w14:paraId="563D9094" w14:textId="0DED2E40" w:rsidTr="00D91E9E">
        <w:tc>
          <w:tcPr>
            <w:tcW w:w="3153" w:type="dxa"/>
            <w:shd w:val="clear" w:color="auto" w:fill="F2F2F2"/>
          </w:tcPr>
          <w:p w14:paraId="1B674886" w14:textId="77777777" w:rsidR="00D91E9E" w:rsidRPr="006B194F" w:rsidRDefault="00D91E9E" w:rsidP="00D91E9E">
            <w:pPr>
              <w:tabs>
                <w:tab w:val="center" w:pos="4252"/>
                <w:tab w:val="right" w:pos="8504"/>
              </w:tabs>
              <w:snapToGrid w:val="0"/>
              <w:rPr>
                <w:rFonts w:ascii="Times New Roman"/>
                <w:b/>
                <w:sz w:val="16"/>
                <w:szCs w:val="16"/>
              </w:rPr>
            </w:pPr>
            <w:r>
              <w:rPr>
                <w:rFonts w:ascii="Times New Roman"/>
                <w:b/>
                <w:sz w:val="16"/>
              </w:rPr>
              <w:t>Anna Pasternak</w:t>
            </w:r>
          </w:p>
          <w:p w14:paraId="6455FC97" w14:textId="77777777" w:rsidR="00D91E9E" w:rsidRPr="006B194F" w:rsidRDefault="00D91E9E" w:rsidP="00D91E9E">
            <w:pPr>
              <w:tabs>
                <w:tab w:val="center" w:pos="4252"/>
                <w:tab w:val="right" w:pos="8504"/>
              </w:tabs>
              <w:snapToGrid w:val="0"/>
              <w:rPr>
                <w:rFonts w:ascii="Times New Roman"/>
                <w:sz w:val="16"/>
                <w:szCs w:val="16"/>
              </w:rPr>
            </w:pPr>
            <w:r>
              <w:rPr>
                <w:rFonts w:ascii="Times New Roman"/>
                <w:sz w:val="16"/>
              </w:rPr>
              <w:t>PR-Manager</w:t>
            </w:r>
          </w:p>
          <w:p w14:paraId="51C82ABC" w14:textId="77777777" w:rsidR="00D91E9E" w:rsidRPr="006B194F" w:rsidRDefault="00D91E9E" w:rsidP="00D91E9E">
            <w:pPr>
              <w:tabs>
                <w:tab w:val="center" w:pos="4252"/>
                <w:tab w:val="right" w:pos="8504"/>
              </w:tabs>
              <w:snapToGrid w:val="0"/>
              <w:rPr>
                <w:rFonts w:ascii="Times New Roman"/>
                <w:sz w:val="16"/>
                <w:szCs w:val="16"/>
              </w:rPr>
            </w:pPr>
            <w:r>
              <w:rPr>
                <w:rFonts w:ascii="Times New Roman"/>
                <w:sz w:val="16"/>
              </w:rPr>
              <w:t>Tel.: +49 (0) 6102 8149 – 173</w:t>
            </w:r>
          </w:p>
          <w:p w14:paraId="071C4E22" w14:textId="77777777" w:rsidR="00D91E9E" w:rsidRPr="006B194F" w:rsidRDefault="00D91E9E" w:rsidP="00D91E9E">
            <w:pPr>
              <w:tabs>
                <w:tab w:val="center" w:pos="4252"/>
                <w:tab w:val="right" w:pos="8504"/>
              </w:tabs>
              <w:snapToGrid w:val="0"/>
              <w:rPr>
                <w:rFonts w:ascii="Times New Roman"/>
                <w:sz w:val="16"/>
                <w:szCs w:val="16"/>
              </w:rPr>
            </w:pPr>
            <w:r>
              <w:rPr>
                <w:rFonts w:ascii="Times New Roman"/>
                <w:sz w:val="16"/>
              </w:rPr>
              <w:t>a.pasternak@hankookreifen.de</w:t>
            </w:r>
          </w:p>
          <w:p w14:paraId="52776326" w14:textId="77777777" w:rsidR="00D91E9E" w:rsidRDefault="00D91E9E" w:rsidP="00D91E9E">
            <w:pPr>
              <w:wordWrap/>
              <w:spacing w:line="276" w:lineRule="auto"/>
              <w:ind w:left="-108"/>
              <w:rPr>
                <w:rFonts w:ascii="Times New Roman"/>
                <w:b/>
                <w:sz w:val="21"/>
                <w:u w:val="single"/>
                <w:lang w:val="en-US"/>
              </w:rPr>
            </w:pPr>
          </w:p>
        </w:tc>
        <w:tc>
          <w:tcPr>
            <w:tcW w:w="6284" w:type="dxa"/>
            <w:shd w:val="clear" w:color="auto" w:fill="F2F2F2"/>
          </w:tcPr>
          <w:p w14:paraId="63EE2E0A" w14:textId="77777777" w:rsidR="00D91E9E" w:rsidRPr="005B0BC2" w:rsidRDefault="00D91E9E" w:rsidP="00D91E9E">
            <w:pPr>
              <w:tabs>
                <w:tab w:val="center" w:pos="4252"/>
                <w:tab w:val="right" w:pos="8504"/>
              </w:tabs>
              <w:snapToGrid w:val="0"/>
              <w:rPr>
                <w:rFonts w:ascii="Times New Roman"/>
                <w:b/>
                <w:sz w:val="16"/>
                <w:szCs w:val="16"/>
                <w:lang w:val="fr-FR"/>
              </w:rPr>
            </w:pPr>
            <w:r>
              <w:rPr>
                <w:rFonts w:ascii="Times New Roman"/>
                <w:b/>
                <w:sz w:val="16"/>
                <w:lang w:val="fr-FR"/>
              </w:rPr>
              <w:t>Sabine Riedel</w:t>
            </w:r>
          </w:p>
          <w:p w14:paraId="43691E9C" w14:textId="77777777" w:rsidR="00D91E9E" w:rsidRPr="005B0BC2" w:rsidRDefault="00D91E9E" w:rsidP="00D91E9E">
            <w:pPr>
              <w:tabs>
                <w:tab w:val="center" w:pos="4252"/>
                <w:tab w:val="right" w:pos="8504"/>
              </w:tabs>
              <w:snapToGrid w:val="0"/>
              <w:rPr>
                <w:rFonts w:ascii="Times New Roman"/>
                <w:sz w:val="16"/>
                <w:szCs w:val="16"/>
                <w:lang w:val="fr-FR"/>
              </w:rPr>
            </w:pPr>
            <w:r w:rsidRPr="005B0BC2">
              <w:rPr>
                <w:rFonts w:ascii="Times New Roman"/>
                <w:sz w:val="16"/>
                <w:lang w:val="fr-FR"/>
              </w:rPr>
              <w:t>Public Relations</w:t>
            </w:r>
          </w:p>
          <w:p w14:paraId="32C80C82" w14:textId="77777777" w:rsidR="00D91E9E" w:rsidRPr="005B0BC2" w:rsidRDefault="00D91E9E" w:rsidP="00D91E9E">
            <w:pPr>
              <w:tabs>
                <w:tab w:val="center" w:pos="4252"/>
                <w:tab w:val="right" w:pos="8504"/>
              </w:tabs>
              <w:snapToGrid w:val="0"/>
              <w:rPr>
                <w:rFonts w:ascii="Times New Roman"/>
                <w:sz w:val="16"/>
                <w:szCs w:val="16"/>
                <w:lang w:val="fr-FR"/>
              </w:rPr>
            </w:pPr>
            <w:r w:rsidRPr="005B0BC2">
              <w:rPr>
                <w:rFonts w:ascii="Times New Roman"/>
                <w:sz w:val="16"/>
                <w:lang w:val="fr-FR"/>
              </w:rPr>
              <w:t>Tel.: +49 (0) 6102 8149 –174</w:t>
            </w:r>
          </w:p>
          <w:p w14:paraId="30F8DCDB" w14:textId="3F9495CB" w:rsidR="00D91E9E" w:rsidRDefault="00D91E9E" w:rsidP="00D91E9E">
            <w:pPr>
              <w:wordWrap/>
              <w:spacing w:line="276" w:lineRule="auto"/>
              <w:ind w:left="-108"/>
              <w:rPr>
                <w:rFonts w:ascii="Times New Roman"/>
                <w:b/>
                <w:sz w:val="21"/>
                <w:u w:val="single"/>
                <w:lang w:val="en-US"/>
              </w:rPr>
            </w:pPr>
            <w:r>
              <w:rPr>
                <w:rFonts w:ascii="Times New Roman"/>
                <w:sz w:val="16"/>
              </w:rPr>
              <w:t>s.riedel@hankookreifen.de</w:t>
            </w:r>
          </w:p>
        </w:tc>
        <w:tc>
          <w:tcPr>
            <w:tcW w:w="1755" w:type="dxa"/>
          </w:tcPr>
          <w:p w14:paraId="424359EC" w14:textId="77777777" w:rsidR="00D91E9E" w:rsidRPr="006B194F" w:rsidRDefault="00D91E9E" w:rsidP="00D91E9E">
            <w:pPr>
              <w:tabs>
                <w:tab w:val="center" w:pos="4252"/>
                <w:tab w:val="right" w:pos="8504"/>
              </w:tabs>
              <w:snapToGrid w:val="0"/>
              <w:rPr>
                <w:rFonts w:ascii="Times New Roman"/>
                <w:b/>
                <w:sz w:val="16"/>
                <w:szCs w:val="16"/>
              </w:rPr>
            </w:pPr>
          </w:p>
          <w:p w14:paraId="2CDD9006" w14:textId="77777777" w:rsidR="00D91E9E" w:rsidRPr="006B194F" w:rsidRDefault="00D91E9E" w:rsidP="00D91E9E">
            <w:pPr>
              <w:tabs>
                <w:tab w:val="center" w:pos="4252"/>
                <w:tab w:val="right" w:pos="8504"/>
              </w:tabs>
              <w:snapToGrid w:val="0"/>
              <w:rPr>
                <w:rFonts w:ascii="Times New Roman"/>
                <w:b/>
                <w:sz w:val="16"/>
                <w:szCs w:val="16"/>
              </w:rPr>
            </w:pPr>
          </w:p>
          <w:p w14:paraId="4AEAEF20" w14:textId="77777777" w:rsidR="00D91E9E" w:rsidRPr="006B194F" w:rsidRDefault="00D91E9E" w:rsidP="00D91E9E">
            <w:pPr>
              <w:tabs>
                <w:tab w:val="center" w:pos="4252"/>
                <w:tab w:val="right" w:pos="8504"/>
              </w:tabs>
              <w:snapToGrid w:val="0"/>
              <w:rPr>
                <w:rFonts w:ascii="Times New Roman"/>
                <w:b/>
                <w:sz w:val="16"/>
                <w:szCs w:val="16"/>
              </w:rPr>
            </w:pPr>
          </w:p>
          <w:p w14:paraId="5F13F33D" w14:textId="77777777" w:rsidR="00D91E9E" w:rsidRPr="009A3FEF" w:rsidRDefault="00D91E9E" w:rsidP="00D91E9E">
            <w:pPr>
              <w:widowControl/>
              <w:wordWrap/>
              <w:autoSpaceDE/>
              <w:autoSpaceDN/>
              <w:jc w:val="left"/>
            </w:pPr>
          </w:p>
        </w:tc>
      </w:tr>
    </w:tbl>
    <w:p w14:paraId="71924A51" w14:textId="77777777" w:rsidR="00714197" w:rsidRPr="00A86F4E" w:rsidRDefault="00714197" w:rsidP="00086B43">
      <w:pPr>
        <w:widowControl/>
        <w:wordWrap/>
        <w:autoSpaceDE/>
        <w:autoSpaceDN/>
        <w:jc w:val="left"/>
        <w:rPr>
          <w:lang w:val="en-US"/>
        </w:rPr>
      </w:pPr>
    </w:p>
    <w:sectPr w:rsidR="00714197" w:rsidRPr="00A86F4E" w:rsidSect="00A76580">
      <w:headerReference w:type="default" r:id="rId10"/>
      <w:pgSz w:w="11906" w:h="16838" w:code="9"/>
      <w:pgMar w:top="2268" w:right="1133" w:bottom="1134" w:left="1276"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A3F39" w14:textId="77777777" w:rsidR="00751ECA" w:rsidRDefault="00751ECA">
      <w:r>
        <w:separator/>
      </w:r>
    </w:p>
  </w:endnote>
  <w:endnote w:type="continuationSeparator" w:id="0">
    <w:p w14:paraId="2D59C50E" w14:textId="77777777" w:rsidR="00751ECA" w:rsidRDefault="0075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Malgun Gothic"/>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ADAAA" w14:textId="77777777" w:rsidR="00751ECA" w:rsidRDefault="00751ECA">
      <w:r>
        <w:separator/>
      </w:r>
    </w:p>
  </w:footnote>
  <w:footnote w:type="continuationSeparator" w:id="0">
    <w:p w14:paraId="24397C15" w14:textId="77777777" w:rsidR="00751ECA" w:rsidRDefault="0075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FA96" w14:textId="120E5A97" w:rsidR="005C05F6" w:rsidRPr="007E3E56" w:rsidRDefault="00A250B5" w:rsidP="001F1E90">
    <w:pPr>
      <w:pStyle w:val="Kopfzeile"/>
      <w:rPr>
        <w:noProof/>
      </w:rPr>
    </w:pPr>
    <w:r>
      <w:rPr>
        <w:noProof/>
        <w:lang w:val="de-DE" w:eastAsia="de-DE" w:bidi="ar-SA"/>
      </w:rPr>
      <w:drawing>
        <wp:anchor distT="0" distB="0" distL="114300" distR="114300" simplePos="0" relativeHeight="251658240" behindDoc="1" locked="0" layoutInCell="1" allowOverlap="1" wp14:anchorId="0828A317" wp14:editId="32443547">
          <wp:simplePos x="0" y="0"/>
          <wp:positionH relativeFrom="margin">
            <wp:posOffset>37465</wp:posOffset>
          </wp:positionH>
          <wp:positionV relativeFrom="paragraph">
            <wp:posOffset>-132715</wp:posOffset>
          </wp:positionV>
          <wp:extent cx="6106795" cy="584200"/>
          <wp:effectExtent l="0" t="0" r="8255" b="6350"/>
          <wp:wrapTight wrapText="bothSides">
            <wp:wrapPolygon edited="0">
              <wp:start x="0" y="0"/>
              <wp:lineTo x="0" y="21130"/>
              <wp:lineTo x="21562" y="21130"/>
              <wp:lineTo x="21562"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header.png"/>
                  <pic:cNvPicPr/>
                </pic:nvPicPr>
                <pic:blipFill>
                  <a:blip r:embed="rId1">
                    <a:extLst>
                      <a:ext uri="{28A0092B-C50C-407E-A947-70E740481C1C}">
                        <a14:useLocalDpi xmlns:a14="http://schemas.microsoft.com/office/drawing/2010/main" val="0"/>
                      </a:ext>
                    </a:extLst>
                  </a:blip>
                  <a:stretch>
                    <a:fillRect/>
                  </a:stretch>
                </pic:blipFill>
                <pic:spPr>
                  <a:xfrm>
                    <a:off x="0" y="0"/>
                    <a:ext cx="6106795" cy="584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88"/>
    <w:rsid w:val="00001B26"/>
    <w:rsid w:val="00003ED4"/>
    <w:rsid w:val="000067F7"/>
    <w:rsid w:val="00006833"/>
    <w:rsid w:val="00017A2B"/>
    <w:rsid w:val="00017B17"/>
    <w:rsid w:val="00024C0C"/>
    <w:rsid w:val="00025A5C"/>
    <w:rsid w:val="0002772C"/>
    <w:rsid w:val="000411F2"/>
    <w:rsid w:val="0004355B"/>
    <w:rsid w:val="00047B42"/>
    <w:rsid w:val="000517F4"/>
    <w:rsid w:val="000548E2"/>
    <w:rsid w:val="00056410"/>
    <w:rsid w:val="00062F90"/>
    <w:rsid w:val="00065180"/>
    <w:rsid w:val="00072626"/>
    <w:rsid w:val="00074290"/>
    <w:rsid w:val="0007704F"/>
    <w:rsid w:val="000831B1"/>
    <w:rsid w:val="00083F3C"/>
    <w:rsid w:val="00086B43"/>
    <w:rsid w:val="000875D5"/>
    <w:rsid w:val="00092A45"/>
    <w:rsid w:val="0009371C"/>
    <w:rsid w:val="000B0BB5"/>
    <w:rsid w:val="000B411A"/>
    <w:rsid w:val="000B6958"/>
    <w:rsid w:val="000B7332"/>
    <w:rsid w:val="000C0314"/>
    <w:rsid w:val="000C6E1D"/>
    <w:rsid w:val="000D55CF"/>
    <w:rsid w:val="000E1D6D"/>
    <w:rsid w:val="000E603A"/>
    <w:rsid w:val="000F5664"/>
    <w:rsid w:val="000F6D80"/>
    <w:rsid w:val="00101BE8"/>
    <w:rsid w:val="00102EF0"/>
    <w:rsid w:val="00103304"/>
    <w:rsid w:val="00104B50"/>
    <w:rsid w:val="00106F2A"/>
    <w:rsid w:val="0010759B"/>
    <w:rsid w:val="00120D88"/>
    <w:rsid w:val="0012567D"/>
    <w:rsid w:val="0013142D"/>
    <w:rsid w:val="0014197F"/>
    <w:rsid w:val="00150894"/>
    <w:rsid w:val="001614E2"/>
    <w:rsid w:val="00161E47"/>
    <w:rsid w:val="00162C66"/>
    <w:rsid w:val="00163322"/>
    <w:rsid w:val="00175A0A"/>
    <w:rsid w:val="00177ACB"/>
    <w:rsid w:val="001869DB"/>
    <w:rsid w:val="00197263"/>
    <w:rsid w:val="00197562"/>
    <w:rsid w:val="001A3A1B"/>
    <w:rsid w:val="001A50E6"/>
    <w:rsid w:val="001B201B"/>
    <w:rsid w:val="001C1BDA"/>
    <w:rsid w:val="001C2F90"/>
    <w:rsid w:val="001C361D"/>
    <w:rsid w:val="001C3AD8"/>
    <w:rsid w:val="001E3019"/>
    <w:rsid w:val="001E34ED"/>
    <w:rsid w:val="001E4216"/>
    <w:rsid w:val="001F0FB4"/>
    <w:rsid w:val="001F1E90"/>
    <w:rsid w:val="002003BA"/>
    <w:rsid w:val="00200EAE"/>
    <w:rsid w:val="002027B6"/>
    <w:rsid w:val="002108C8"/>
    <w:rsid w:val="00222A01"/>
    <w:rsid w:val="002248AD"/>
    <w:rsid w:val="00227BDC"/>
    <w:rsid w:val="00233E50"/>
    <w:rsid w:val="00233F45"/>
    <w:rsid w:val="0023653F"/>
    <w:rsid w:val="00246D1F"/>
    <w:rsid w:val="0025379F"/>
    <w:rsid w:val="002556D7"/>
    <w:rsid w:val="0025739E"/>
    <w:rsid w:val="00267B18"/>
    <w:rsid w:val="002718FF"/>
    <w:rsid w:val="00271BA6"/>
    <w:rsid w:val="002755BD"/>
    <w:rsid w:val="002A5094"/>
    <w:rsid w:val="002A6543"/>
    <w:rsid w:val="002B30F1"/>
    <w:rsid w:val="002C00EE"/>
    <w:rsid w:val="002D0C91"/>
    <w:rsid w:val="002D27EF"/>
    <w:rsid w:val="002D4BAE"/>
    <w:rsid w:val="002D4F96"/>
    <w:rsid w:val="002D5B1A"/>
    <w:rsid w:val="002E2D3B"/>
    <w:rsid w:val="002E4904"/>
    <w:rsid w:val="002F4BA8"/>
    <w:rsid w:val="002F6C1C"/>
    <w:rsid w:val="002F7B1B"/>
    <w:rsid w:val="0030092B"/>
    <w:rsid w:val="003049EE"/>
    <w:rsid w:val="00304B76"/>
    <w:rsid w:val="003112B9"/>
    <w:rsid w:val="0031176B"/>
    <w:rsid w:val="00312849"/>
    <w:rsid w:val="003136F1"/>
    <w:rsid w:val="00314014"/>
    <w:rsid w:val="00331C51"/>
    <w:rsid w:val="00343CCC"/>
    <w:rsid w:val="00344D69"/>
    <w:rsid w:val="00344F0A"/>
    <w:rsid w:val="00360B1F"/>
    <w:rsid w:val="00362D20"/>
    <w:rsid w:val="00363C25"/>
    <w:rsid w:val="003643E1"/>
    <w:rsid w:val="00364861"/>
    <w:rsid w:val="00371E7C"/>
    <w:rsid w:val="00377C2E"/>
    <w:rsid w:val="00383460"/>
    <w:rsid w:val="003849C6"/>
    <w:rsid w:val="0038762D"/>
    <w:rsid w:val="00387F7A"/>
    <w:rsid w:val="003917CC"/>
    <w:rsid w:val="003A4235"/>
    <w:rsid w:val="003A4407"/>
    <w:rsid w:val="003A4F6D"/>
    <w:rsid w:val="003A723F"/>
    <w:rsid w:val="003B278F"/>
    <w:rsid w:val="003B2E25"/>
    <w:rsid w:val="003B3191"/>
    <w:rsid w:val="003B44B4"/>
    <w:rsid w:val="003C0FBD"/>
    <w:rsid w:val="003C7BFC"/>
    <w:rsid w:val="003D58E0"/>
    <w:rsid w:val="003D68C7"/>
    <w:rsid w:val="003E1A1E"/>
    <w:rsid w:val="003E4726"/>
    <w:rsid w:val="003F2DE3"/>
    <w:rsid w:val="004041F4"/>
    <w:rsid w:val="004157B0"/>
    <w:rsid w:val="004206E9"/>
    <w:rsid w:val="00420E15"/>
    <w:rsid w:val="004350DC"/>
    <w:rsid w:val="00436EAA"/>
    <w:rsid w:val="004414C4"/>
    <w:rsid w:val="0044446D"/>
    <w:rsid w:val="00444993"/>
    <w:rsid w:val="00444E7F"/>
    <w:rsid w:val="004460D3"/>
    <w:rsid w:val="00446550"/>
    <w:rsid w:val="00447A3E"/>
    <w:rsid w:val="00455AEE"/>
    <w:rsid w:val="00457BD7"/>
    <w:rsid w:val="00460D21"/>
    <w:rsid w:val="00462F5F"/>
    <w:rsid w:val="004732AC"/>
    <w:rsid w:val="0047391A"/>
    <w:rsid w:val="004824FA"/>
    <w:rsid w:val="00485225"/>
    <w:rsid w:val="00487547"/>
    <w:rsid w:val="00497A8D"/>
    <w:rsid w:val="004A31F4"/>
    <w:rsid w:val="004B150E"/>
    <w:rsid w:val="004C29C2"/>
    <w:rsid w:val="004C6ECC"/>
    <w:rsid w:val="004E261D"/>
    <w:rsid w:val="004F28A8"/>
    <w:rsid w:val="004F2952"/>
    <w:rsid w:val="005011CC"/>
    <w:rsid w:val="0050351C"/>
    <w:rsid w:val="005037DC"/>
    <w:rsid w:val="0053099D"/>
    <w:rsid w:val="00530BA4"/>
    <w:rsid w:val="00533C3E"/>
    <w:rsid w:val="005376B1"/>
    <w:rsid w:val="00551780"/>
    <w:rsid w:val="005553B9"/>
    <w:rsid w:val="005601DA"/>
    <w:rsid w:val="00560424"/>
    <w:rsid w:val="00562EB1"/>
    <w:rsid w:val="00572854"/>
    <w:rsid w:val="00572CF3"/>
    <w:rsid w:val="00572F13"/>
    <w:rsid w:val="00576183"/>
    <w:rsid w:val="00577CD5"/>
    <w:rsid w:val="00581A3B"/>
    <w:rsid w:val="00581E18"/>
    <w:rsid w:val="00585BFE"/>
    <w:rsid w:val="00596081"/>
    <w:rsid w:val="005A26B2"/>
    <w:rsid w:val="005A508B"/>
    <w:rsid w:val="005A5A44"/>
    <w:rsid w:val="005B210E"/>
    <w:rsid w:val="005B219E"/>
    <w:rsid w:val="005B51AA"/>
    <w:rsid w:val="005C05F6"/>
    <w:rsid w:val="005C0C4E"/>
    <w:rsid w:val="005C0FB0"/>
    <w:rsid w:val="005C181C"/>
    <w:rsid w:val="005C412D"/>
    <w:rsid w:val="005D201B"/>
    <w:rsid w:val="005D4631"/>
    <w:rsid w:val="005E6475"/>
    <w:rsid w:val="005F37C4"/>
    <w:rsid w:val="005F3C4A"/>
    <w:rsid w:val="005F7047"/>
    <w:rsid w:val="005F7481"/>
    <w:rsid w:val="00607FEE"/>
    <w:rsid w:val="0061114B"/>
    <w:rsid w:val="0061202C"/>
    <w:rsid w:val="00612C39"/>
    <w:rsid w:val="00614B40"/>
    <w:rsid w:val="00615848"/>
    <w:rsid w:val="006179DA"/>
    <w:rsid w:val="00621306"/>
    <w:rsid w:val="006445FB"/>
    <w:rsid w:val="0064577B"/>
    <w:rsid w:val="00647311"/>
    <w:rsid w:val="00655AAF"/>
    <w:rsid w:val="00662147"/>
    <w:rsid w:val="006667B6"/>
    <w:rsid w:val="00666939"/>
    <w:rsid w:val="00667BB8"/>
    <w:rsid w:val="00671285"/>
    <w:rsid w:val="00673B55"/>
    <w:rsid w:val="0068335A"/>
    <w:rsid w:val="006845C6"/>
    <w:rsid w:val="00686AE0"/>
    <w:rsid w:val="00686D56"/>
    <w:rsid w:val="00696E35"/>
    <w:rsid w:val="006972E3"/>
    <w:rsid w:val="006A5A04"/>
    <w:rsid w:val="006A5C6C"/>
    <w:rsid w:val="006B6A63"/>
    <w:rsid w:val="006C6E9C"/>
    <w:rsid w:val="006C7894"/>
    <w:rsid w:val="006D0C54"/>
    <w:rsid w:val="006D1B2E"/>
    <w:rsid w:val="006D2B42"/>
    <w:rsid w:val="006D3D26"/>
    <w:rsid w:val="006D7992"/>
    <w:rsid w:val="006E32E9"/>
    <w:rsid w:val="006E3B5A"/>
    <w:rsid w:val="006E451A"/>
    <w:rsid w:val="006F16FE"/>
    <w:rsid w:val="006F3E1C"/>
    <w:rsid w:val="006F3EA3"/>
    <w:rsid w:val="006F50B5"/>
    <w:rsid w:val="006F6C09"/>
    <w:rsid w:val="0070081A"/>
    <w:rsid w:val="00711E67"/>
    <w:rsid w:val="00713C21"/>
    <w:rsid w:val="00714197"/>
    <w:rsid w:val="00715BB9"/>
    <w:rsid w:val="00716459"/>
    <w:rsid w:val="007165BD"/>
    <w:rsid w:val="007232C9"/>
    <w:rsid w:val="00725098"/>
    <w:rsid w:val="007264EF"/>
    <w:rsid w:val="0073576C"/>
    <w:rsid w:val="00742854"/>
    <w:rsid w:val="00751ECA"/>
    <w:rsid w:val="0076020A"/>
    <w:rsid w:val="007627A2"/>
    <w:rsid w:val="00766647"/>
    <w:rsid w:val="007713B4"/>
    <w:rsid w:val="007843E8"/>
    <w:rsid w:val="00784A84"/>
    <w:rsid w:val="00784FE0"/>
    <w:rsid w:val="00790A5A"/>
    <w:rsid w:val="00790CA1"/>
    <w:rsid w:val="007911B2"/>
    <w:rsid w:val="00794773"/>
    <w:rsid w:val="0079682A"/>
    <w:rsid w:val="007A26F4"/>
    <w:rsid w:val="007A69DF"/>
    <w:rsid w:val="007B2158"/>
    <w:rsid w:val="007B21B8"/>
    <w:rsid w:val="007B7E9F"/>
    <w:rsid w:val="007C2657"/>
    <w:rsid w:val="007C2672"/>
    <w:rsid w:val="007C61BE"/>
    <w:rsid w:val="007D773A"/>
    <w:rsid w:val="007E2845"/>
    <w:rsid w:val="007E3092"/>
    <w:rsid w:val="007E54F5"/>
    <w:rsid w:val="007F5659"/>
    <w:rsid w:val="008047F0"/>
    <w:rsid w:val="00807476"/>
    <w:rsid w:val="008161DF"/>
    <w:rsid w:val="00816A3F"/>
    <w:rsid w:val="00817D1E"/>
    <w:rsid w:val="00820464"/>
    <w:rsid w:val="008234C7"/>
    <w:rsid w:val="00823811"/>
    <w:rsid w:val="00830A3E"/>
    <w:rsid w:val="00832C60"/>
    <w:rsid w:val="00834BD8"/>
    <w:rsid w:val="00842D2D"/>
    <w:rsid w:val="00857B3E"/>
    <w:rsid w:val="00857BB8"/>
    <w:rsid w:val="00862CA4"/>
    <w:rsid w:val="0086444D"/>
    <w:rsid w:val="008650BC"/>
    <w:rsid w:val="00865A22"/>
    <w:rsid w:val="00880154"/>
    <w:rsid w:val="008805BC"/>
    <w:rsid w:val="008903C8"/>
    <w:rsid w:val="008922CE"/>
    <w:rsid w:val="00894A06"/>
    <w:rsid w:val="00895890"/>
    <w:rsid w:val="008A2954"/>
    <w:rsid w:val="008B2C3F"/>
    <w:rsid w:val="008C0A9C"/>
    <w:rsid w:val="008C0CCF"/>
    <w:rsid w:val="008C351A"/>
    <w:rsid w:val="008C3CE0"/>
    <w:rsid w:val="008C6923"/>
    <w:rsid w:val="008C6CE9"/>
    <w:rsid w:val="008D569C"/>
    <w:rsid w:val="008E38C8"/>
    <w:rsid w:val="008E3F8F"/>
    <w:rsid w:val="008E5266"/>
    <w:rsid w:val="008E5716"/>
    <w:rsid w:val="008E7F71"/>
    <w:rsid w:val="008F1402"/>
    <w:rsid w:val="008F53F3"/>
    <w:rsid w:val="009042E3"/>
    <w:rsid w:val="00905A22"/>
    <w:rsid w:val="0091487F"/>
    <w:rsid w:val="00917ED4"/>
    <w:rsid w:val="00917F13"/>
    <w:rsid w:val="00921206"/>
    <w:rsid w:val="0092297D"/>
    <w:rsid w:val="00922D88"/>
    <w:rsid w:val="0092333D"/>
    <w:rsid w:val="009265F3"/>
    <w:rsid w:val="009408EB"/>
    <w:rsid w:val="00945782"/>
    <w:rsid w:val="00946E3B"/>
    <w:rsid w:val="00950A55"/>
    <w:rsid w:val="00952B51"/>
    <w:rsid w:val="00961163"/>
    <w:rsid w:val="00962FEC"/>
    <w:rsid w:val="00965C7E"/>
    <w:rsid w:val="009801A3"/>
    <w:rsid w:val="009832E3"/>
    <w:rsid w:val="00984E2B"/>
    <w:rsid w:val="009856BB"/>
    <w:rsid w:val="0098683B"/>
    <w:rsid w:val="00994023"/>
    <w:rsid w:val="00996B66"/>
    <w:rsid w:val="00996F19"/>
    <w:rsid w:val="009A2AEE"/>
    <w:rsid w:val="009B0771"/>
    <w:rsid w:val="009B107B"/>
    <w:rsid w:val="009B1ECB"/>
    <w:rsid w:val="009B6805"/>
    <w:rsid w:val="009B7FB6"/>
    <w:rsid w:val="009C4F5E"/>
    <w:rsid w:val="009D0A85"/>
    <w:rsid w:val="009D3098"/>
    <w:rsid w:val="009E0C28"/>
    <w:rsid w:val="009E525A"/>
    <w:rsid w:val="00A12CCD"/>
    <w:rsid w:val="00A133F3"/>
    <w:rsid w:val="00A20652"/>
    <w:rsid w:val="00A250B5"/>
    <w:rsid w:val="00A26C68"/>
    <w:rsid w:val="00A36415"/>
    <w:rsid w:val="00A4768A"/>
    <w:rsid w:val="00A505B3"/>
    <w:rsid w:val="00A51DA9"/>
    <w:rsid w:val="00A52032"/>
    <w:rsid w:val="00A52DF5"/>
    <w:rsid w:val="00A535A3"/>
    <w:rsid w:val="00A54D17"/>
    <w:rsid w:val="00A5536F"/>
    <w:rsid w:val="00A577E0"/>
    <w:rsid w:val="00A57A2D"/>
    <w:rsid w:val="00A6095A"/>
    <w:rsid w:val="00A60D1B"/>
    <w:rsid w:val="00A617A2"/>
    <w:rsid w:val="00A63D45"/>
    <w:rsid w:val="00A66571"/>
    <w:rsid w:val="00A668CE"/>
    <w:rsid w:val="00A72685"/>
    <w:rsid w:val="00A745C2"/>
    <w:rsid w:val="00A7478E"/>
    <w:rsid w:val="00A74839"/>
    <w:rsid w:val="00A74EFA"/>
    <w:rsid w:val="00A75C31"/>
    <w:rsid w:val="00A76580"/>
    <w:rsid w:val="00A86F4E"/>
    <w:rsid w:val="00A870E1"/>
    <w:rsid w:val="00A90169"/>
    <w:rsid w:val="00A909EF"/>
    <w:rsid w:val="00AA61BE"/>
    <w:rsid w:val="00AB744B"/>
    <w:rsid w:val="00AC0B4C"/>
    <w:rsid w:val="00AC6C32"/>
    <w:rsid w:val="00AD35F8"/>
    <w:rsid w:val="00AE3306"/>
    <w:rsid w:val="00AF5544"/>
    <w:rsid w:val="00B00050"/>
    <w:rsid w:val="00B0660F"/>
    <w:rsid w:val="00B131E8"/>
    <w:rsid w:val="00B13A1C"/>
    <w:rsid w:val="00B13ACA"/>
    <w:rsid w:val="00B21381"/>
    <w:rsid w:val="00B234CA"/>
    <w:rsid w:val="00B25C14"/>
    <w:rsid w:val="00B35956"/>
    <w:rsid w:val="00B37345"/>
    <w:rsid w:val="00B373A6"/>
    <w:rsid w:val="00B41961"/>
    <w:rsid w:val="00B43C9A"/>
    <w:rsid w:val="00B460D9"/>
    <w:rsid w:val="00B50E9B"/>
    <w:rsid w:val="00B55861"/>
    <w:rsid w:val="00B55D94"/>
    <w:rsid w:val="00B576C7"/>
    <w:rsid w:val="00B67D46"/>
    <w:rsid w:val="00B73D7E"/>
    <w:rsid w:val="00B84802"/>
    <w:rsid w:val="00B903C3"/>
    <w:rsid w:val="00B91A0E"/>
    <w:rsid w:val="00B95AD6"/>
    <w:rsid w:val="00BB2D24"/>
    <w:rsid w:val="00BC3FA8"/>
    <w:rsid w:val="00BC5355"/>
    <w:rsid w:val="00BC660A"/>
    <w:rsid w:val="00BD3FAA"/>
    <w:rsid w:val="00BE4ED4"/>
    <w:rsid w:val="00BF5A72"/>
    <w:rsid w:val="00C00ACF"/>
    <w:rsid w:val="00C00DCB"/>
    <w:rsid w:val="00C016E0"/>
    <w:rsid w:val="00C01F52"/>
    <w:rsid w:val="00C1195C"/>
    <w:rsid w:val="00C21867"/>
    <w:rsid w:val="00C22E49"/>
    <w:rsid w:val="00C25161"/>
    <w:rsid w:val="00C260C2"/>
    <w:rsid w:val="00C337C6"/>
    <w:rsid w:val="00C40688"/>
    <w:rsid w:val="00C4099F"/>
    <w:rsid w:val="00C4386E"/>
    <w:rsid w:val="00C4433C"/>
    <w:rsid w:val="00C4683D"/>
    <w:rsid w:val="00C516D6"/>
    <w:rsid w:val="00C52F5F"/>
    <w:rsid w:val="00C60CE2"/>
    <w:rsid w:val="00C60ED8"/>
    <w:rsid w:val="00C61C69"/>
    <w:rsid w:val="00C63E12"/>
    <w:rsid w:val="00C65850"/>
    <w:rsid w:val="00C705B7"/>
    <w:rsid w:val="00C72490"/>
    <w:rsid w:val="00C76E74"/>
    <w:rsid w:val="00C8029D"/>
    <w:rsid w:val="00C81399"/>
    <w:rsid w:val="00C866C8"/>
    <w:rsid w:val="00C972A6"/>
    <w:rsid w:val="00CA50AE"/>
    <w:rsid w:val="00CB28A1"/>
    <w:rsid w:val="00CB2DC4"/>
    <w:rsid w:val="00CB3022"/>
    <w:rsid w:val="00CB30AA"/>
    <w:rsid w:val="00CC0BBA"/>
    <w:rsid w:val="00CE0695"/>
    <w:rsid w:val="00CE0E73"/>
    <w:rsid w:val="00CE2E42"/>
    <w:rsid w:val="00CE53A7"/>
    <w:rsid w:val="00CE584B"/>
    <w:rsid w:val="00CE5D17"/>
    <w:rsid w:val="00CE6304"/>
    <w:rsid w:val="00CF0E04"/>
    <w:rsid w:val="00CF1C31"/>
    <w:rsid w:val="00D0031C"/>
    <w:rsid w:val="00D0459C"/>
    <w:rsid w:val="00D06108"/>
    <w:rsid w:val="00D1194E"/>
    <w:rsid w:val="00D11E7A"/>
    <w:rsid w:val="00D12A06"/>
    <w:rsid w:val="00D221C8"/>
    <w:rsid w:val="00D24CAC"/>
    <w:rsid w:val="00D251E2"/>
    <w:rsid w:val="00D35D7F"/>
    <w:rsid w:val="00D373E8"/>
    <w:rsid w:val="00D423AB"/>
    <w:rsid w:val="00D43C92"/>
    <w:rsid w:val="00D453A8"/>
    <w:rsid w:val="00D46A3C"/>
    <w:rsid w:val="00D534C0"/>
    <w:rsid w:val="00D61307"/>
    <w:rsid w:val="00D75368"/>
    <w:rsid w:val="00D76BD0"/>
    <w:rsid w:val="00D8477F"/>
    <w:rsid w:val="00D87261"/>
    <w:rsid w:val="00D8749B"/>
    <w:rsid w:val="00D90F33"/>
    <w:rsid w:val="00D91E9E"/>
    <w:rsid w:val="00D924DD"/>
    <w:rsid w:val="00DA01EE"/>
    <w:rsid w:val="00DA390E"/>
    <w:rsid w:val="00DA5929"/>
    <w:rsid w:val="00DB33B9"/>
    <w:rsid w:val="00DB655B"/>
    <w:rsid w:val="00DC3D3F"/>
    <w:rsid w:val="00DD699B"/>
    <w:rsid w:val="00DE0692"/>
    <w:rsid w:val="00DE40A0"/>
    <w:rsid w:val="00DE4CE6"/>
    <w:rsid w:val="00DF5389"/>
    <w:rsid w:val="00E00A32"/>
    <w:rsid w:val="00E12C17"/>
    <w:rsid w:val="00E141CB"/>
    <w:rsid w:val="00E20F68"/>
    <w:rsid w:val="00E22F35"/>
    <w:rsid w:val="00E321A8"/>
    <w:rsid w:val="00E3373B"/>
    <w:rsid w:val="00E41893"/>
    <w:rsid w:val="00E523B6"/>
    <w:rsid w:val="00E54916"/>
    <w:rsid w:val="00E56CD3"/>
    <w:rsid w:val="00E56FF3"/>
    <w:rsid w:val="00E57F4D"/>
    <w:rsid w:val="00E66D67"/>
    <w:rsid w:val="00E66E4A"/>
    <w:rsid w:val="00E86F42"/>
    <w:rsid w:val="00E91F6B"/>
    <w:rsid w:val="00EA49AE"/>
    <w:rsid w:val="00EB1962"/>
    <w:rsid w:val="00EC6383"/>
    <w:rsid w:val="00EC66A7"/>
    <w:rsid w:val="00ED0617"/>
    <w:rsid w:val="00ED3C4B"/>
    <w:rsid w:val="00ED6DA7"/>
    <w:rsid w:val="00EE03AF"/>
    <w:rsid w:val="00EE126A"/>
    <w:rsid w:val="00EF4261"/>
    <w:rsid w:val="00EF4655"/>
    <w:rsid w:val="00F1557C"/>
    <w:rsid w:val="00F160D1"/>
    <w:rsid w:val="00F22246"/>
    <w:rsid w:val="00F2681D"/>
    <w:rsid w:val="00F27925"/>
    <w:rsid w:val="00F31841"/>
    <w:rsid w:val="00F31DD4"/>
    <w:rsid w:val="00F3212E"/>
    <w:rsid w:val="00F32D3F"/>
    <w:rsid w:val="00F34B5E"/>
    <w:rsid w:val="00F44A39"/>
    <w:rsid w:val="00F54113"/>
    <w:rsid w:val="00F6287A"/>
    <w:rsid w:val="00F66E1C"/>
    <w:rsid w:val="00F728F6"/>
    <w:rsid w:val="00F748F3"/>
    <w:rsid w:val="00F75A33"/>
    <w:rsid w:val="00F77110"/>
    <w:rsid w:val="00F8274F"/>
    <w:rsid w:val="00F83768"/>
    <w:rsid w:val="00F90176"/>
    <w:rsid w:val="00F93CDE"/>
    <w:rsid w:val="00F94621"/>
    <w:rsid w:val="00F9558F"/>
    <w:rsid w:val="00F9705D"/>
    <w:rsid w:val="00FA1B15"/>
    <w:rsid w:val="00FA69B1"/>
    <w:rsid w:val="00FC0223"/>
    <w:rsid w:val="00FC50E9"/>
    <w:rsid w:val="00FC63FA"/>
    <w:rsid w:val="00FC6E23"/>
    <w:rsid w:val="00FD3CD6"/>
    <w:rsid w:val="00FD451F"/>
    <w:rsid w:val="00FD4730"/>
    <w:rsid w:val="00FD5776"/>
    <w:rsid w:val="00FD6AF0"/>
    <w:rsid w:val="00FD7BC4"/>
    <w:rsid w:val="00FE0991"/>
    <w:rsid w:val="00FE5D10"/>
    <w:rsid w:val="00FE72AB"/>
    <w:rsid w:val="00FF00CE"/>
    <w:rsid w:val="00FF2621"/>
    <w:rsid w:val="00FF31F9"/>
    <w:rsid w:val="00FF70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48B17"/>
  <w15:docId w15:val="{D32FEC68-4574-48E6-91F5-0623FEC4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pl-PL" w:eastAsia="pl-PL" w:bidi="pl-P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berarbeitung">
    <w:name w:val="Revision"/>
    <w:hidden/>
    <w:uiPriority w:val="99"/>
    <w:semiHidden/>
    <w:rsid w:val="002A6543"/>
    <w:rPr>
      <w:rFonts w:ascii="Batang" w:eastAsia="Batang"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3A9D-FB39-4DDC-8228-340FCE17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5236</Characters>
  <Application>Microsoft Office Word</Application>
  <DocSecurity>0</DocSecurity>
  <Lines>43</Lines>
  <Paragraphs>12</Paragraphs>
  <ScaleCrop>false</ScaleCrop>
  <HeadingPairs>
    <vt:vector size="8" baseType="variant">
      <vt:variant>
        <vt:lpstr>Titel</vt:lpstr>
      </vt:variant>
      <vt:variant>
        <vt:i4>1</vt:i4>
      </vt:variant>
      <vt:variant>
        <vt:lpstr>Tytuł</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6055</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Andreas Lubitz</cp:lastModifiedBy>
  <cp:revision>3</cp:revision>
  <cp:lastPrinted>2017-02-06T07:55:00Z</cp:lastPrinted>
  <dcterms:created xsi:type="dcterms:W3CDTF">2017-02-20T14:08:00Z</dcterms:created>
  <dcterms:modified xsi:type="dcterms:W3CDTF">2017-02-20T14:08:00Z</dcterms:modified>
</cp:coreProperties>
</file>