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864C0" w:rsidRDefault="003864C0" w:rsidP="006120DF">
      <w:pPr>
        <w:snapToGrid w:val="0"/>
        <w:ind w:rightChars="-15" w:right="-30"/>
        <w:rPr>
          <w:rFonts w:ascii="Helvetica" w:eastAsia="Dotum" w:hAnsi="Helvetica" w:cs="Arial"/>
          <w:b/>
          <w:color w:val="FF6600"/>
          <w:sz w:val="32"/>
          <w:szCs w:val="32"/>
        </w:rPr>
      </w:pPr>
      <w:bookmarkStart w:id="0" w:name="_GoBack"/>
    </w:p>
    <w:bookmarkEnd w:id="0"/>
    <w:p w:rsidR="006120DF" w:rsidRPr="00C1195C" w:rsidRDefault="006120DF" w:rsidP="006120DF">
      <w:pPr>
        <w:snapToGrid w:val="0"/>
        <w:ind w:rightChars="-71" w:right="-142"/>
        <w:jc w:val="center"/>
        <w:rPr>
          <w:rFonts w:ascii="Arial" w:eastAsia="Dotum" w:hAnsi="Arial" w:cs="Arial"/>
          <w:b/>
          <w:color w:val="FF6600"/>
          <w:sz w:val="32"/>
          <w:szCs w:val="32"/>
        </w:rPr>
      </w:pPr>
      <w:r>
        <w:rPr>
          <w:rFonts w:ascii="Arial" w:hAnsi="Arial"/>
          <w:b/>
          <w:color w:val="FF6600"/>
          <w:sz w:val="32"/>
        </w:rPr>
        <w:t>Hankook Tire presenta sus resultados económicos globales</w:t>
      </w:r>
    </w:p>
    <w:p w:rsidR="006120DF" w:rsidRPr="00C1195C" w:rsidRDefault="006120DF" w:rsidP="006120DF">
      <w:pPr>
        <w:snapToGrid w:val="0"/>
        <w:ind w:rightChars="-15" w:right="-30"/>
        <w:jc w:val="center"/>
        <w:rPr>
          <w:rFonts w:ascii="Arial" w:eastAsia="Dotum" w:hAnsi="Arial" w:cs="Arial"/>
          <w:b/>
          <w:color w:val="FF6600"/>
          <w:sz w:val="32"/>
          <w:szCs w:val="32"/>
        </w:rPr>
      </w:pPr>
      <w:r>
        <w:rPr>
          <w:rFonts w:ascii="Arial" w:hAnsi="Arial"/>
          <w:b/>
          <w:color w:val="FF6600"/>
          <w:sz w:val="32"/>
        </w:rPr>
        <w:t>del cuarto trimestre de 2016</w:t>
      </w:r>
    </w:p>
    <w:p w:rsidR="006120DF" w:rsidRPr="008047F0" w:rsidRDefault="006120DF" w:rsidP="006120DF">
      <w:pPr>
        <w:snapToGrid w:val="0"/>
        <w:ind w:rightChars="-15" w:right="-30"/>
        <w:jc w:val="center"/>
        <w:rPr>
          <w:rFonts w:ascii="Arial" w:eastAsia="Dotum" w:hAnsi="Arial" w:cs="Arial"/>
          <w:b/>
          <w:color w:val="ED7D31"/>
          <w:sz w:val="32"/>
          <w:szCs w:val="32"/>
        </w:rPr>
      </w:pPr>
    </w:p>
    <w:p w:rsidR="006120DF" w:rsidRPr="00EC6383" w:rsidRDefault="006120DF" w:rsidP="006120DF">
      <w:pPr>
        <w:widowControl/>
        <w:numPr>
          <w:ilvl w:val="0"/>
          <w:numId w:val="7"/>
        </w:numPr>
        <w:suppressAutoHyphens w:val="0"/>
        <w:autoSpaceDE/>
        <w:snapToGrid w:val="0"/>
        <w:spacing w:line="276" w:lineRule="auto"/>
        <w:ind w:rightChars="-15" w:right="-30"/>
        <w:rPr>
          <w:b/>
          <w:iCs/>
          <w:color w:val="000000" w:themeColor="text1"/>
          <w:sz w:val="22"/>
          <w:szCs w:val="22"/>
        </w:rPr>
      </w:pPr>
      <w:r>
        <w:rPr>
          <w:b/>
          <w:color w:val="000000" w:themeColor="text1"/>
          <w:sz w:val="22"/>
        </w:rPr>
        <w:t>Hankook Tire anunció unos beneficios en las ventas globales de 1,61 billones de KRW y un beneficio operativo de 239.800 millones de KRW durante el cuarto trimestre de 2016</w:t>
      </w:r>
    </w:p>
    <w:p w:rsidR="006120DF" w:rsidRPr="00950A55" w:rsidRDefault="006120DF" w:rsidP="006120DF">
      <w:pPr>
        <w:widowControl/>
        <w:numPr>
          <w:ilvl w:val="0"/>
          <w:numId w:val="7"/>
        </w:numPr>
        <w:suppressAutoHyphens w:val="0"/>
        <w:autoSpaceDE/>
        <w:snapToGrid w:val="0"/>
        <w:spacing w:line="276" w:lineRule="auto"/>
        <w:ind w:rightChars="-15" w:right="-30"/>
        <w:rPr>
          <w:b/>
          <w:iCs/>
          <w:color w:val="000000" w:themeColor="text1"/>
          <w:sz w:val="22"/>
          <w:szCs w:val="22"/>
        </w:rPr>
      </w:pPr>
      <w:r>
        <w:rPr>
          <w:b/>
          <w:color w:val="000000" w:themeColor="text1"/>
          <w:sz w:val="22"/>
        </w:rPr>
        <w:t>El beneficio operativo de 2016 aumentó un 24,7% en comparación con el ejercicio anterior favorecido por las exitosas ventas en el suministro de EO Premium y el aumento de las ventas de neumáticos de altas prestaciones (UHPT) en los principales mercados, especialmente en Europa y América del Norte.</w:t>
      </w:r>
    </w:p>
    <w:p w:rsidR="006120DF" w:rsidRPr="00344D69" w:rsidRDefault="006120DF" w:rsidP="006120DF">
      <w:pPr>
        <w:widowControl/>
        <w:autoSpaceDE/>
        <w:snapToGrid w:val="0"/>
        <w:spacing w:line="276" w:lineRule="auto"/>
        <w:ind w:rightChars="-15" w:right="-30"/>
        <w:rPr>
          <w:rFonts w:ascii="Arial" w:hAnsi="Arial" w:cs="Arial"/>
          <w:b/>
          <w:iCs/>
          <w:color w:val="000000" w:themeColor="text1"/>
          <w:sz w:val="24"/>
        </w:rPr>
      </w:pPr>
    </w:p>
    <w:p w:rsidR="006120DF" w:rsidRPr="00950A55" w:rsidRDefault="006120DF" w:rsidP="006120DF">
      <w:pPr>
        <w:tabs>
          <w:tab w:val="left" w:pos="1455"/>
        </w:tabs>
        <w:spacing w:line="276" w:lineRule="auto"/>
        <w:rPr>
          <w:iCs/>
          <w:color w:val="000000" w:themeColor="text1"/>
          <w:sz w:val="21"/>
          <w:szCs w:val="21"/>
        </w:rPr>
      </w:pPr>
      <w:r>
        <w:rPr>
          <w:b/>
          <w:color w:val="000000" w:themeColor="text1"/>
          <w:sz w:val="21"/>
        </w:rPr>
        <w:t xml:space="preserve">Seúl, Corea / Neu-Isenburg, Alemania, a </w:t>
      </w:r>
      <w:r w:rsidR="009B637A">
        <w:rPr>
          <w:b/>
          <w:color w:val="000000" w:themeColor="text1"/>
          <w:sz w:val="21"/>
        </w:rPr>
        <w:t>14</w:t>
      </w:r>
      <w:r>
        <w:rPr>
          <w:b/>
          <w:color w:val="000000" w:themeColor="text1"/>
          <w:sz w:val="21"/>
        </w:rPr>
        <w:t xml:space="preserve"> de febrero de 2017</w:t>
      </w:r>
      <w:r>
        <w:rPr>
          <w:color w:val="000000" w:themeColor="text1"/>
          <w:sz w:val="21"/>
        </w:rPr>
        <w:t xml:space="preserve"> – Hankook Tire anunció sus resultados económicos globales del cuarto trimestre de 2016 con unas ventas consolidadas de 1,61 billones de KRW (unos 1.295 millones de euros) y un beneficio operativo de 239.8</w:t>
      </w:r>
      <w:r w:rsidR="00FD4D60">
        <w:rPr>
          <w:color w:val="000000" w:themeColor="text1"/>
          <w:sz w:val="21"/>
        </w:rPr>
        <w:t>00 millones de KRW (unos 192.2</w:t>
      </w:r>
      <w:r>
        <w:rPr>
          <w:color w:val="000000" w:themeColor="text1"/>
          <w:sz w:val="21"/>
        </w:rPr>
        <w:t xml:space="preserve"> millones de euros). La compañía presentó unos ingresos en las ventas totales de 6,62 billones de KRW (5.163 millones de euros) y un beneficio operativo de 1,10 billones de KRW (860,1 millones de euros) en el ejercicio total de 2016.</w:t>
      </w:r>
    </w:p>
    <w:p w:rsidR="00F32070" w:rsidRDefault="00F32070" w:rsidP="006120DF">
      <w:pPr>
        <w:tabs>
          <w:tab w:val="left" w:pos="1455"/>
        </w:tabs>
        <w:spacing w:line="276" w:lineRule="auto"/>
        <w:rPr>
          <w:iCs/>
          <w:color w:val="000000" w:themeColor="text1"/>
          <w:sz w:val="21"/>
          <w:szCs w:val="21"/>
        </w:rPr>
      </w:pPr>
    </w:p>
    <w:p w:rsidR="006120DF" w:rsidRPr="00950A55" w:rsidRDefault="006120DF" w:rsidP="006120DF">
      <w:pPr>
        <w:tabs>
          <w:tab w:val="left" w:pos="1455"/>
        </w:tabs>
        <w:spacing w:line="276" w:lineRule="auto"/>
        <w:rPr>
          <w:iCs/>
          <w:color w:val="000000" w:themeColor="text1"/>
          <w:sz w:val="21"/>
          <w:szCs w:val="21"/>
        </w:rPr>
      </w:pPr>
      <w:r>
        <w:rPr>
          <w:color w:val="000000" w:themeColor="text1"/>
          <w:sz w:val="21"/>
        </w:rPr>
        <w:t>El éxito de Hankook Tire se debe al continuo suministro de EO a modelos de marcas de automóviles Premium  basados en la excelente tecnología y calidad de los productos globales de Hankook Tire. Un aumento en el volumen de ventas en el segmento de neumáticos de repuesto (RE), especialmente en el segmento de neumáticos de altas prestaciones (UHPT) incluyendo las ventas de neumáticos de invierno en Europa, contribuyó a la tendencia en continuo ascenso. Asimismo, Hankook Tire logró garantizar un crecimiento equilibrado aumentando igualmente las ventas de EO en el mercado chino.</w:t>
      </w:r>
    </w:p>
    <w:p w:rsidR="006120DF" w:rsidRPr="00950A55" w:rsidRDefault="006120DF" w:rsidP="006120DF">
      <w:pPr>
        <w:widowControl/>
        <w:shd w:val="clear" w:color="auto" w:fill="FFFFFF"/>
        <w:autoSpaceDE/>
        <w:spacing w:line="276" w:lineRule="auto"/>
        <w:rPr>
          <w:iCs/>
          <w:color w:val="000000" w:themeColor="text1"/>
          <w:sz w:val="21"/>
          <w:szCs w:val="21"/>
        </w:rPr>
      </w:pPr>
    </w:p>
    <w:p w:rsidR="006120DF" w:rsidRPr="00950A55" w:rsidRDefault="006120DF" w:rsidP="006120DF">
      <w:pPr>
        <w:tabs>
          <w:tab w:val="left" w:pos="1455"/>
        </w:tabs>
        <w:spacing w:line="276" w:lineRule="auto"/>
        <w:rPr>
          <w:iCs/>
          <w:color w:val="000000" w:themeColor="text1"/>
          <w:sz w:val="21"/>
          <w:szCs w:val="21"/>
        </w:rPr>
      </w:pPr>
      <w:r>
        <w:rPr>
          <w:color w:val="000000" w:themeColor="text1"/>
          <w:sz w:val="21"/>
        </w:rPr>
        <w:t xml:space="preserve">Los beneficios por las ventas de UHPT contribuyeron especialmente a alcanzar el 33,5% en las ventas totales en el cuarto trimestre, registrando un aumento del 0,7% en comparación con el ejercicio anterior. Con respecto a las ventas totales de 2016, el beneficio en las ventas de UHPT ascendió al 34,5%. </w:t>
      </w:r>
    </w:p>
    <w:p w:rsidR="006120DF" w:rsidRPr="00950A55" w:rsidRDefault="006120DF" w:rsidP="006120DF">
      <w:pPr>
        <w:tabs>
          <w:tab w:val="left" w:pos="1455"/>
        </w:tabs>
        <w:spacing w:line="276" w:lineRule="auto"/>
        <w:rPr>
          <w:iCs/>
          <w:color w:val="000000" w:themeColor="text1"/>
          <w:sz w:val="21"/>
          <w:szCs w:val="21"/>
        </w:rPr>
      </w:pPr>
    </w:p>
    <w:p w:rsidR="006120DF" w:rsidRPr="00950A55" w:rsidRDefault="006120DF" w:rsidP="006120DF">
      <w:pPr>
        <w:tabs>
          <w:tab w:val="left" w:pos="1455"/>
        </w:tabs>
        <w:spacing w:line="276" w:lineRule="auto"/>
        <w:rPr>
          <w:iCs/>
          <w:color w:val="000000" w:themeColor="text1"/>
          <w:sz w:val="21"/>
          <w:szCs w:val="21"/>
        </w:rPr>
      </w:pPr>
      <w:r>
        <w:rPr>
          <w:color w:val="000000" w:themeColor="text1"/>
          <w:sz w:val="21"/>
        </w:rPr>
        <w:t xml:space="preserve">Con el objetivo de este año de alcanzar beneficios en los mercados globales de 7,22 billones de KRW, Hankook Tire planea centrarse en expandir las ventas en el segmento UHPT, así como en el segmento de EO para nuevos modelos de vehículos Premium con el fin de reforzar su reconocimiento de marca. Asimismo, la compañía continuará reforzando su presencia en el mercado global diversificando su cartera de productos de EO y optimizando cada estrategia de distribución regional. </w:t>
      </w:r>
    </w:p>
    <w:p w:rsidR="006120DF" w:rsidRPr="00950A55" w:rsidRDefault="006120DF" w:rsidP="006120DF">
      <w:pPr>
        <w:widowControl/>
        <w:shd w:val="clear" w:color="auto" w:fill="FFFFFF"/>
        <w:autoSpaceDE/>
        <w:spacing w:line="276" w:lineRule="auto"/>
        <w:rPr>
          <w:iCs/>
          <w:color w:val="000000" w:themeColor="text1"/>
          <w:sz w:val="21"/>
          <w:szCs w:val="21"/>
        </w:rPr>
      </w:pPr>
    </w:p>
    <w:p w:rsidR="006120DF" w:rsidRPr="00344D69" w:rsidRDefault="006120DF" w:rsidP="006120DF">
      <w:pPr>
        <w:tabs>
          <w:tab w:val="left" w:pos="1455"/>
        </w:tabs>
        <w:spacing w:line="276" w:lineRule="auto"/>
        <w:rPr>
          <w:rFonts w:ascii="Arial" w:hAnsi="Arial" w:cs="Arial"/>
          <w:iCs/>
          <w:color w:val="000000" w:themeColor="text1"/>
          <w:sz w:val="24"/>
        </w:rPr>
      </w:pPr>
      <w:r>
        <w:rPr>
          <w:color w:val="000000" w:themeColor="text1"/>
          <w:sz w:val="21"/>
        </w:rPr>
        <w:t>Como marca Premium que ofrece la oportunidad de un</w:t>
      </w:r>
      <w:r w:rsidR="00B86F9E">
        <w:rPr>
          <w:color w:val="000000" w:themeColor="text1"/>
          <w:sz w:val="21"/>
        </w:rPr>
        <w:t>a experiencia tecnológica</w:t>
      </w:r>
      <w:r>
        <w:rPr>
          <w:color w:val="000000" w:themeColor="text1"/>
          <w:sz w:val="21"/>
        </w:rPr>
        <w:t xml:space="preserve"> basándose en una cultura corporativa innovadora, Hankook Tire continuará acelerando su cr</w:t>
      </w:r>
      <w:r w:rsidR="00B86F9E">
        <w:rPr>
          <w:color w:val="000000" w:themeColor="text1"/>
          <w:sz w:val="21"/>
        </w:rPr>
        <w:t xml:space="preserve">ecimiento comercial y reforzando </w:t>
      </w:r>
      <w:r>
        <w:rPr>
          <w:color w:val="000000" w:themeColor="text1"/>
          <w:sz w:val="21"/>
        </w:rPr>
        <w:t>su liderazgo en tecnología mediante un entorno laboral que fomenta el poder de la innovación y la creatividad.</w:t>
      </w:r>
      <w:r>
        <w:rPr>
          <w:rFonts w:ascii="Arial" w:hAnsi="Arial"/>
          <w:color w:val="000000" w:themeColor="text1"/>
          <w:sz w:val="24"/>
        </w:rPr>
        <w:t xml:space="preserve"> </w:t>
      </w:r>
    </w:p>
    <w:p w:rsidR="006120DF" w:rsidRPr="00A76580" w:rsidRDefault="006120DF" w:rsidP="006120DF">
      <w:pPr>
        <w:widowControl/>
        <w:shd w:val="clear" w:color="auto" w:fill="FFFFFF"/>
        <w:autoSpaceDE/>
        <w:jc w:val="center"/>
        <w:rPr>
          <w:iCs/>
          <w:color w:val="000000" w:themeColor="text1"/>
          <w:sz w:val="21"/>
          <w:szCs w:val="21"/>
        </w:rPr>
      </w:pPr>
      <w:r>
        <w:rPr>
          <w:color w:val="000000" w:themeColor="text1"/>
          <w:sz w:val="21"/>
        </w:rPr>
        <w:lastRenderedPageBreak/>
        <w:t>###</w:t>
      </w:r>
    </w:p>
    <w:p w:rsidR="006120DF" w:rsidRPr="00950A55" w:rsidRDefault="006120DF" w:rsidP="006120DF">
      <w:pPr>
        <w:snapToGrid w:val="0"/>
        <w:spacing w:line="276" w:lineRule="auto"/>
        <w:ind w:rightChars="56" w:right="112" w:firstLineChars="50" w:firstLine="120"/>
        <w:rPr>
          <w:rFonts w:ascii="Arial" w:hAnsi="Arial" w:cs="Arial"/>
          <w:b/>
          <w:sz w:val="24"/>
        </w:rPr>
      </w:pPr>
      <w:r>
        <w:rPr>
          <w:rFonts w:ascii="Arial" w:hAnsi="Arial" w:hint="eastAsia"/>
          <w:b/>
          <w:sz w:val="24"/>
        </w:rPr>
        <w:t xml:space="preserve">Q4 </w:t>
      </w:r>
      <w:r>
        <w:rPr>
          <w:rFonts w:ascii="Arial" w:hAnsi="Arial"/>
          <w:b/>
          <w:sz w:val="24"/>
        </w:rPr>
        <w:t>2016 Consolidated Financial Result</w:t>
      </w:r>
    </w:p>
    <w:tbl>
      <w:tblPr>
        <w:tblStyle w:val="Tabellenraster"/>
        <w:tblW w:w="0" w:type="auto"/>
        <w:tblInd w:w="250"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2222"/>
        <w:gridCol w:w="2504"/>
        <w:gridCol w:w="2403"/>
        <w:gridCol w:w="2475"/>
      </w:tblGrid>
      <w:tr w:rsidR="006120DF" w:rsidRPr="003A723F" w:rsidTr="000A0429">
        <w:trPr>
          <w:trHeight w:val="362"/>
        </w:trPr>
        <w:tc>
          <w:tcPr>
            <w:tcW w:w="2298" w:type="dxa"/>
            <w:tcBorders>
              <w:bottom w:val="double" w:sz="4" w:space="0" w:color="auto"/>
              <w:right w:val="double" w:sz="4" w:space="0" w:color="auto"/>
            </w:tcBorders>
            <w:shd w:val="clear" w:color="auto" w:fill="7F7F7F" w:themeFill="text1" w:themeFillTint="80"/>
            <w:vAlign w:val="center"/>
          </w:tcPr>
          <w:p w:rsidR="006120DF" w:rsidRPr="00B5156C" w:rsidRDefault="006120DF" w:rsidP="000A0429">
            <w:pPr>
              <w:snapToGrid w:val="0"/>
              <w:ind w:rightChars="56" w:right="112"/>
              <w:jc w:val="center"/>
              <w:rPr>
                <w:rFonts w:ascii="Arial" w:hAnsi="Arial" w:cs="Arial"/>
                <w:b/>
                <w:color w:val="FFFFFF" w:themeColor="background1"/>
              </w:rPr>
            </w:pPr>
            <w:r>
              <w:rPr>
                <w:rFonts w:ascii="Arial" w:hAnsi="Arial"/>
                <w:b/>
                <w:color w:val="FFFFFF" w:themeColor="background1"/>
              </w:rPr>
              <w:t>(Unit: Billion KRW)</w:t>
            </w:r>
          </w:p>
        </w:tc>
        <w:tc>
          <w:tcPr>
            <w:tcW w:w="2641" w:type="dxa"/>
            <w:tcBorders>
              <w:bottom w:val="double" w:sz="4" w:space="0" w:color="auto"/>
              <w:right w:val="double" w:sz="4" w:space="0" w:color="auto"/>
            </w:tcBorders>
            <w:shd w:val="clear" w:color="auto" w:fill="7F7F7F" w:themeFill="text1" w:themeFillTint="80"/>
            <w:vAlign w:val="center"/>
          </w:tcPr>
          <w:p w:rsidR="006120DF" w:rsidRPr="00B5156C" w:rsidRDefault="006120DF" w:rsidP="000A0429">
            <w:pPr>
              <w:snapToGrid w:val="0"/>
              <w:ind w:rightChars="56" w:right="112"/>
              <w:jc w:val="center"/>
              <w:rPr>
                <w:rFonts w:ascii="Arial" w:hAnsi="Arial" w:cs="Arial"/>
                <w:b/>
                <w:color w:val="FFFFFF" w:themeColor="background1"/>
              </w:rPr>
            </w:pPr>
            <w:r>
              <w:rPr>
                <w:rFonts w:ascii="Arial" w:hAnsi="Arial" w:hint="eastAsia"/>
                <w:b/>
                <w:color w:val="FFFFFF" w:themeColor="background1"/>
              </w:rPr>
              <w:t xml:space="preserve">Q4 </w:t>
            </w:r>
            <w:r>
              <w:rPr>
                <w:rFonts w:ascii="Arial" w:hAnsi="Arial"/>
                <w:b/>
                <w:color w:val="FFFFFF" w:themeColor="background1"/>
              </w:rPr>
              <w:t>FY 2015</w:t>
            </w:r>
          </w:p>
        </w:tc>
        <w:tc>
          <w:tcPr>
            <w:tcW w:w="2508" w:type="dxa"/>
            <w:tcBorders>
              <w:bottom w:val="double" w:sz="4" w:space="0" w:color="auto"/>
              <w:right w:val="double" w:sz="4" w:space="0" w:color="auto"/>
            </w:tcBorders>
            <w:shd w:val="clear" w:color="auto" w:fill="7F7F7F" w:themeFill="text1" w:themeFillTint="80"/>
            <w:vAlign w:val="center"/>
          </w:tcPr>
          <w:p w:rsidR="006120DF" w:rsidRPr="00B5156C" w:rsidRDefault="006120DF" w:rsidP="000A0429">
            <w:pPr>
              <w:snapToGrid w:val="0"/>
              <w:ind w:rightChars="56" w:right="112"/>
              <w:jc w:val="center"/>
              <w:rPr>
                <w:rFonts w:ascii="Arial" w:hAnsi="Arial" w:cs="Arial"/>
                <w:b/>
                <w:color w:val="FFFFFF" w:themeColor="background1"/>
              </w:rPr>
            </w:pPr>
            <w:r>
              <w:rPr>
                <w:rFonts w:ascii="Arial" w:hAnsi="Arial" w:hint="eastAsia"/>
                <w:b/>
                <w:color w:val="FFFFFF" w:themeColor="background1"/>
              </w:rPr>
              <w:t xml:space="preserve">3T </w:t>
            </w:r>
            <w:r>
              <w:rPr>
                <w:rFonts w:ascii="Arial" w:hAnsi="Arial"/>
                <w:b/>
                <w:color w:val="FFFFFF" w:themeColor="background1"/>
              </w:rPr>
              <w:t>del ejercicio de 2016</w:t>
            </w:r>
          </w:p>
        </w:tc>
        <w:tc>
          <w:tcPr>
            <w:tcW w:w="2621" w:type="dxa"/>
            <w:tcBorders>
              <w:left w:val="double" w:sz="4" w:space="0" w:color="auto"/>
              <w:bottom w:val="double" w:sz="4" w:space="0" w:color="auto"/>
              <w:right w:val="nil"/>
            </w:tcBorders>
            <w:shd w:val="clear" w:color="auto" w:fill="7F7F7F" w:themeFill="text1" w:themeFillTint="80"/>
            <w:vAlign w:val="center"/>
          </w:tcPr>
          <w:p w:rsidR="006120DF" w:rsidRPr="00B5156C" w:rsidRDefault="006120DF" w:rsidP="000A0429">
            <w:pPr>
              <w:snapToGrid w:val="0"/>
              <w:ind w:rightChars="56" w:right="112"/>
              <w:jc w:val="center"/>
              <w:rPr>
                <w:rFonts w:ascii="Arial" w:hAnsi="Arial" w:cs="Arial"/>
                <w:b/>
                <w:color w:val="FFFFFF" w:themeColor="background1"/>
              </w:rPr>
            </w:pPr>
            <w:r>
              <w:rPr>
                <w:rFonts w:ascii="Arial" w:hAnsi="Arial" w:hint="eastAsia"/>
                <w:b/>
                <w:color w:val="FFFFFF" w:themeColor="background1"/>
              </w:rPr>
              <w:t xml:space="preserve">Q4 </w:t>
            </w:r>
            <w:r>
              <w:rPr>
                <w:rFonts w:ascii="Arial" w:hAnsi="Arial"/>
                <w:b/>
                <w:color w:val="FFFFFF" w:themeColor="background1"/>
              </w:rPr>
              <w:t>FY 2016</w:t>
            </w:r>
          </w:p>
        </w:tc>
      </w:tr>
      <w:tr w:rsidR="006120DF" w:rsidRPr="003A723F" w:rsidTr="000A0429">
        <w:trPr>
          <w:trHeight w:val="362"/>
        </w:trPr>
        <w:tc>
          <w:tcPr>
            <w:tcW w:w="2298" w:type="dxa"/>
            <w:tcBorders>
              <w:top w:val="double" w:sz="4" w:space="0" w:color="auto"/>
              <w:right w:val="double" w:sz="4" w:space="0" w:color="auto"/>
            </w:tcBorders>
            <w:vAlign w:val="center"/>
          </w:tcPr>
          <w:p w:rsidR="006120DF" w:rsidRPr="00B5156C" w:rsidRDefault="006120DF" w:rsidP="000A0429">
            <w:pPr>
              <w:snapToGrid w:val="0"/>
              <w:ind w:rightChars="56" w:right="112"/>
              <w:jc w:val="center"/>
              <w:rPr>
                <w:rFonts w:ascii="Arial" w:hAnsi="Arial" w:cs="Arial"/>
                <w:b/>
                <w:color w:val="000000" w:themeColor="text1"/>
              </w:rPr>
            </w:pPr>
            <w:r>
              <w:rPr>
                <w:rFonts w:ascii="Arial" w:hAnsi="Arial"/>
                <w:b/>
                <w:color w:val="000000" w:themeColor="text1"/>
              </w:rPr>
              <w:t>Sales</w:t>
            </w:r>
          </w:p>
        </w:tc>
        <w:tc>
          <w:tcPr>
            <w:tcW w:w="2641" w:type="dxa"/>
            <w:tcBorders>
              <w:top w:val="double" w:sz="4" w:space="0" w:color="auto"/>
              <w:right w:val="double" w:sz="4" w:space="0" w:color="auto"/>
            </w:tcBorders>
            <w:shd w:val="clear" w:color="auto" w:fill="auto"/>
          </w:tcPr>
          <w:p w:rsidR="006120DF" w:rsidRPr="00B5156C" w:rsidRDefault="006120DF" w:rsidP="000A0429">
            <w:pPr>
              <w:jc w:val="center"/>
              <w:rPr>
                <w:rFonts w:ascii="Arial" w:hAnsi="Arial" w:cs="Arial"/>
                <w:b/>
                <w:color w:val="000000" w:themeColor="text1"/>
              </w:rPr>
            </w:pPr>
            <w:r>
              <w:rPr>
                <w:rFonts w:ascii="Arial" w:hAnsi="Arial"/>
                <w:b/>
                <w:color w:val="000000" w:themeColor="text1"/>
              </w:rPr>
              <w:t>1,596.5</w:t>
            </w:r>
          </w:p>
        </w:tc>
        <w:tc>
          <w:tcPr>
            <w:tcW w:w="2508" w:type="dxa"/>
            <w:tcBorders>
              <w:top w:val="double" w:sz="4" w:space="0" w:color="auto"/>
              <w:right w:val="double" w:sz="4" w:space="0" w:color="auto"/>
            </w:tcBorders>
            <w:vAlign w:val="center"/>
          </w:tcPr>
          <w:p w:rsidR="006120DF" w:rsidRPr="00B5156C" w:rsidRDefault="006120DF" w:rsidP="000A0429">
            <w:pPr>
              <w:jc w:val="center"/>
              <w:rPr>
                <w:rFonts w:ascii="Arial" w:hAnsi="Arial" w:cs="Arial"/>
                <w:b/>
                <w:color w:val="000000" w:themeColor="text1"/>
              </w:rPr>
            </w:pPr>
            <w:r>
              <w:rPr>
                <w:rFonts w:ascii="Arial" w:hAnsi="Arial"/>
                <w:b/>
                <w:color w:val="000000" w:themeColor="text1"/>
              </w:rPr>
              <w:t>1,657.6</w:t>
            </w:r>
          </w:p>
        </w:tc>
        <w:tc>
          <w:tcPr>
            <w:tcW w:w="2621" w:type="dxa"/>
            <w:tcBorders>
              <w:top w:val="double" w:sz="4" w:space="0" w:color="auto"/>
              <w:left w:val="double" w:sz="4" w:space="0" w:color="auto"/>
              <w:right w:val="nil"/>
            </w:tcBorders>
          </w:tcPr>
          <w:p w:rsidR="006120DF" w:rsidRPr="00B5156C" w:rsidRDefault="006120DF" w:rsidP="000A0429">
            <w:pPr>
              <w:jc w:val="center"/>
              <w:rPr>
                <w:rFonts w:ascii="Arial" w:hAnsi="Arial" w:cs="Arial"/>
                <w:b/>
                <w:color w:val="000000" w:themeColor="text1"/>
              </w:rPr>
            </w:pPr>
          </w:p>
        </w:tc>
      </w:tr>
      <w:tr w:rsidR="006120DF" w:rsidRPr="003A723F" w:rsidTr="000A0429">
        <w:trPr>
          <w:trHeight w:val="362"/>
        </w:trPr>
        <w:tc>
          <w:tcPr>
            <w:tcW w:w="2298" w:type="dxa"/>
            <w:tcBorders>
              <w:right w:val="double" w:sz="4" w:space="0" w:color="auto"/>
            </w:tcBorders>
            <w:vAlign w:val="center"/>
          </w:tcPr>
          <w:p w:rsidR="006120DF" w:rsidRPr="00B5156C" w:rsidRDefault="006120DF" w:rsidP="000A0429">
            <w:pPr>
              <w:snapToGrid w:val="0"/>
              <w:ind w:rightChars="56" w:right="112"/>
              <w:jc w:val="center"/>
              <w:rPr>
                <w:rFonts w:ascii="Arial" w:hAnsi="Arial" w:cs="Arial"/>
                <w:b/>
                <w:color w:val="000000" w:themeColor="text1"/>
              </w:rPr>
            </w:pPr>
            <w:r>
              <w:rPr>
                <w:rFonts w:ascii="Arial" w:hAnsi="Arial"/>
                <w:b/>
                <w:color w:val="000000" w:themeColor="text1"/>
              </w:rPr>
              <w:t>Operating Profit</w:t>
            </w:r>
          </w:p>
        </w:tc>
        <w:tc>
          <w:tcPr>
            <w:tcW w:w="2641" w:type="dxa"/>
            <w:tcBorders>
              <w:right w:val="double" w:sz="4" w:space="0" w:color="auto"/>
            </w:tcBorders>
            <w:shd w:val="clear" w:color="auto" w:fill="auto"/>
          </w:tcPr>
          <w:p w:rsidR="006120DF" w:rsidRPr="00B5156C" w:rsidRDefault="006120DF" w:rsidP="000A0429">
            <w:pPr>
              <w:jc w:val="center"/>
              <w:rPr>
                <w:rFonts w:ascii="Arial" w:hAnsi="Arial" w:cs="Arial"/>
                <w:b/>
                <w:color w:val="000000" w:themeColor="text1"/>
              </w:rPr>
            </w:pPr>
            <w:r>
              <w:rPr>
                <w:rFonts w:ascii="Arial" w:hAnsi="Arial"/>
                <w:b/>
                <w:color w:val="000000" w:themeColor="text1"/>
              </w:rPr>
              <w:t>239.1</w:t>
            </w:r>
          </w:p>
        </w:tc>
        <w:tc>
          <w:tcPr>
            <w:tcW w:w="2508" w:type="dxa"/>
            <w:tcBorders>
              <w:right w:val="double" w:sz="4" w:space="0" w:color="auto"/>
            </w:tcBorders>
            <w:vAlign w:val="center"/>
          </w:tcPr>
          <w:p w:rsidR="006120DF" w:rsidRPr="00B5156C" w:rsidRDefault="006120DF" w:rsidP="000A0429">
            <w:pPr>
              <w:jc w:val="center"/>
              <w:rPr>
                <w:rFonts w:ascii="Arial" w:hAnsi="Arial" w:cs="Arial"/>
                <w:b/>
                <w:color w:val="000000" w:themeColor="text1"/>
              </w:rPr>
            </w:pPr>
            <w:r>
              <w:rPr>
                <w:rFonts w:ascii="Arial" w:hAnsi="Arial"/>
                <w:b/>
                <w:color w:val="000000" w:themeColor="text1"/>
              </w:rPr>
              <w:t>302.6</w:t>
            </w:r>
          </w:p>
        </w:tc>
        <w:tc>
          <w:tcPr>
            <w:tcW w:w="2621" w:type="dxa"/>
            <w:tcBorders>
              <w:left w:val="double" w:sz="4" w:space="0" w:color="auto"/>
              <w:right w:val="nil"/>
            </w:tcBorders>
          </w:tcPr>
          <w:p w:rsidR="006120DF" w:rsidRPr="00B5156C" w:rsidRDefault="006120DF" w:rsidP="000A0429">
            <w:pPr>
              <w:jc w:val="center"/>
              <w:rPr>
                <w:rFonts w:ascii="Arial" w:hAnsi="Arial" w:cs="Arial"/>
                <w:b/>
                <w:color w:val="000000" w:themeColor="text1"/>
              </w:rPr>
            </w:pPr>
            <w:r>
              <w:rPr>
                <w:rFonts w:ascii="Arial" w:hAnsi="Arial" w:hint="eastAsia"/>
                <w:b/>
                <w:color w:val="000000" w:themeColor="text1"/>
              </w:rPr>
              <w:t>2</w:t>
            </w:r>
            <w:r>
              <w:rPr>
                <w:rFonts w:ascii="Arial" w:hAnsi="Arial"/>
                <w:b/>
                <w:color w:val="000000" w:themeColor="text1"/>
              </w:rPr>
              <w:t>39.8</w:t>
            </w:r>
          </w:p>
        </w:tc>
      </w:tr>
    </w:tbl>
    <w:p w:rsidR="006120DF" w:rsidRPr="003A723F" w:rsidRDefault="006120DF" w:rsidP="006120DF">
      <w:pPr>
        <w:rPr>
          <w:rFonts w:ascii="Arial" w:hAnsi="Arial" w:cs="Arial"/>
          <w:color w:val="000000" w:themeColor="text1"/>
          <w:sz w:val="22"/>
          <w:szCs w:val="22"/>
        </w:rPr>
      </w:pPr>
    </w:p>
    <w:tbl>
      <w:tblPr>
        <w:tblStyle w:val="Tabellenraster"/>
        <w:tblW w:w="0" w:type="auto"/>
        <w:tblInd w:w="250"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2221"/>
        <w:gridCol w:w="2493"/>
        <w:gridCol w:w="2396"/>
        <w:gridCol w:w="2494"/>
      </w:tblGrid>
      <w:tr w:rsidR="006120DF" w:rsidRPr="003A723F" w:rsidTr="000A0429">
        <w:trPr>
          <w:trHeight w:val="363"/>
        </w:trPr>
        <w:tc>
          <w:tcPr>
            <w:tcW w:w="2295" w:type="dxa"/>
            <w:tcBorders>
              <w:bottom w:val="double" w:sz="4" w:space="0" w:color="auto"/>
              <w:right w:val="double" w:sz="4" w:space="0" w:color="auto"/>
            </w:tcBorders>
            <w:shd w:val="clear" w:color="auto" w:fill="7F7F7F" w:themeFill="text1" w:themeFillTint="80"/>
            <w:vAlign w:val="center"/>
          </w:tcPr>
          <w:p w:rsidR="006120DF" w:rsidRPr="00B5156C" w:rsidRDefault="006120DF" w:rsidP="000A0429">
            <w:pPr>
              <w:snapToGrid w:val="0"/>
              <w:ind w:rightChars="56" w:right="112"/>
              <w:jc w:val="center"/>
              <w:rPr>
                <w:rFonts w:ascii="Arial" w:hAnsi="Arial" w:cs="Arial"/>
                <w:b/>
                <w:color w:val="FFFFFF" w:themeColor="background1"/>
              </w:rPr>
            </w:pPr>
            <w:r>
              <w:rPr>
                <w:rFonts w:ascii="Arial" w:hAnsi="Arial"/>
                <w:b/>
                <w:color w:val="FFFFFF" w:themeColor="background1"/>
              </w:rPr>
              <w:t>(Unit: Million USD)</w:t>
            </w:r>
          </w:p>
        </w:tc>
        <w:tc>
          <w:tcPr>
            <w:tcW w:w="2626" w:type="dxa"/>
            <w:tcBorders>
              <w:left w:val="double" w:sz="4" w:space="0" w:color="auto"/>
              <w:bottom w:val="double" w:sz="4" w:space="0" w:color="auto"/>
              <w:right w:val="double" w:sz="4" w:space="0" w:color="auto"/>
            </w:tcBorders>
            <w:shd w:val="clear" w:color="auto" w:fill="7F7F7F" w:themeFill="text1" w:themeFillTint="80"/>
            <w:vAlign w:val="center"/>
          </w:tcPr>
          <w:p w:rsidR="006120DF" w:rsidRPr="00B5156C" w:rsidRDefault="006120DF" w:rsidP="000A0429">
            <w:pPr>
              <w:snapToGrid w:val="0"/>
              <w:ind w:rightChars="56" w:right="112"/>
              <w:jc w:val="center"/>
              <w:rPr>
                <w:rFonts w:ascii="Arial" w:hAnsi="Arial" w:cs="Arial"/>
                <w:b/>
                <w:color w:val="FFFFFF" w:themeColor="background1"/>
              </w:rPr>
            </w:pPr>
            <w:r>
              <w:rPr>
                <w:rFonts w:ascii="Arial" w:hAnsi="Arial" w:hint="eastAsia"/>
                <w:b/>
                <w:color w:val="FFFFFF" w:themeColor="background1"/>
              </w:rPr>
              <w:t xml:space="preserve">Q4 </w:t>
            </w:r>
            <w:r>
              <w:rPr>
                <w:rFonts w:ascii="Arial" w:hAnsi="Arial"/>
                <w:b/>
                <w:color w:val="FFFFFF" w:themeColor="background1"/>
              </w:rPr>
              <w:t>FY 2015</w:t>
            </w:r>
          </w:p>
        </w:tc>
        <w:tc>
          <w:tcPr>
            <w:tcW w:w="2520" w:type="dxa"/>
            <w:tcBorders>
              <w:left w:val="double" w:sz="4" w:space="0" w:color="auto"/>
              <w:bottom w:val="double" w:sz="4" w:space="0" w:color="auto"/>
              <w:right w:val="double" w:sz="4" w:space="0" w:color="auto"/>
            </w:tcBorders>
            <w:shd w:val="clear" w:color="auto" w:fill="7F7F7F" w:themeFill="text1" w:themeFillTint="80"/>
            <w:vAlign w:val="center"/>
          </w:tcPr>
          <w:p w:rsidR="006120DF" w:rsidRPr="00B5156C" w:rsidRDefault="006120DF" w:rsidP="000A0429">
            <w:pPr>
              <w:snapToGrid w:val="0"/>
              <w:ind w:rightChars="56" w:right="112"/>
              <w:jc w:val="center"/>
              <w:rPr>
                <w:rFonts w:ascii="Arial" w:hAnsi="Arial" w:cs="Arial"/>
                <w:b/>
                <w:color w:val="FFFFFF" w:themeColor="background1"/>
              </w:rPr>
            </w:pPr>
            <w:r>
              <w:rPr>
                <w:rFonts w:ascii="Arial" w:hAnsi="Arial" w:hint="eastAsia"/>
                <w:b/>
                <w:color w:val="FFFFFF" w:themeColor="background1"/>
              </w:rPr>
              <w:t xml:space="preserve">Q3 </w:t>
            </w:r>
            <w:r>
              <w:rPr>
                <w:rFonts w:ascii="Arial" w:hAnsi="Arial"/>
                <w:b/>
                <w:color w:val="FFFFFF" w:themeColor="background1"/>
              </w:rPr>
              <w:t>FY 2016</w:t>
            </w:r>
          </w:p>
        </w:tc>
        <w:tc>
          <w:tcPr>
            <w:tcW w:w="2627" w:type="dxa"/>
            <w:tcBorders>
              <w:left w:val="double" w:sz="4" w:space="0" w:color="auto"/>
              <w:bottom w:val="double" w:sz="4" w:space="0" w:color="auto"/>
              <w:right w:val="nil"/>
            </w:tcBorders>
            <w:shd w:val="clear" w:color="auto" w:fill="7F7F7F" w:themeFill="text1" w:themeFillTint="80"/>
            <w:vAlign w:val="center"/>
          </w:tcPr>
          <w:p w:rsidR="006120DF" w:rsidRPr="00B5156C" w:rsidRDefault="006120DF" w:rsidP="000A0429">
            <w:pPr>
              <w:snapToGrid w:val="0"/>
              <w:ind w:rightChars="56" w:right="112"/>
              <w:jc w:val="center"/>
              <w:rPr>
                <w:rFonts w:ascii="Arial" w:hAnsi="Arial" w:cs="Arial"/>
                <w:b/>
                <w:color w:val="FFFFFF" w:themeColor="background1"/>
              </w:rPr>
            </w:pPr>
            <w:r>
              <w:rPr>
                <w:rFonts w:ascii="Arial" w:hAnsi="Arial" w:hint="eastAsia"/>
                <w:b/>
                <w:color w:val="FFFFFF" w:themeColor="background1"/>
              </w:rPr>
              <w:t xml:space="preserve">Q4 </w:t>
            </w:r>
            <w:r>
              <w:rPr>
                <w:rFonts w:ascii="Arial" w:hAnsi="Arial"/>
                <w:b/>
                <w:color w:val="FFFFFF" w:themeColor="background1"/>
              </w:rPr>
              <w:t>FY 2016</w:t>
            </w:r>
          </w:p>
        </w:tc>
      </w:tr>
      <w:tr w:rsidR="006120DF" w:rsidRPr="003A723F" w:rsidTr="000A0429">
        <w:trPr>
          <w:trHeight w:val="363"/>
        </w:trPr>
        <w:tc>
          <w:tcPr>
            <w:tcW w:w="2295" w:type="dxa"/>
            <w:tcBorders>
              <w:top w:val="double" w:sz="4" w:space="0" w:color="auto"/>
              <w:bottom w:val="single" w:sz="4" w:space="0" w:color="auto"/>
              <w:right w:val="double" w:sz="4" w:space="0" w:color="auto"/>
            </w:tcBorders>
            <w:vAlign w:val="center"/>
          </w:tcPr>
          <w:p w:rsidR="006120DF" w:rsidRPr="00B5156C" w:rsidRDefault="006120DF" w:rsidP="000A0429">
            <w:pPr>
              <w:snapToGrid w:val="0"/>
              <w:ind w:rightChars="56" w:right="112"/>
              <w:jc w:val="center"/>
              <w:rPr>
                <w:rFonts w:ascii="Arial" w:hAnsi="Arial" w:cs="Arial"/>
                <w:b/>
                <w:color w:val="000000" w:themeColor="text1"/>
              </w:rPr>
            </w:pPr>
            <w:r>
              <w:rPr>
                <w:rFonts w:ascii="Arial" w:hAnsi="Arial"/>
                <w:b/>
                <w:color w:val="000000" w:themeColor="text1"/>
              </w:rPr>
              <w:t>Sales</w:t>
            </w:r>
          </w:p>
        </w:tc>
        <w:tc>
          <w:tcPr>
            <w:tcW w:w="2626" w:type="dxa"/>
            <w:tcBorders>
              <w:top w:val="double" w:sz="4" w:space="0" w:color="auto"/>
              <w:left w:val="double" w:sz="4" w:space="0" w:color="auto"/>
              <w:bottom w:val="single" w:sz="4" w:space="0" w:color="auto"/>
              <w:right w:val="double" w:sz="4" w:space="0" w:color="auto"/>
            </w:tcBorders>
            <w:shd w:val="clear" w:color="auto" w:fill="auto"/>
          </w:tcPr>
          <w:p w:rsidR="006120DF" w:rsidRPr="00B5156C" w:rsidRDefault="006120DF" w:rsidP="000A0429">
            <w:pPr>
              <w:jc w:val="center"/>
              <w:rPr>
                <w:rFonts w:ascii="Arial" w:hAnsi="Arial" w:cs="Arial"/>
                <w:b/>
                <w:color w:val="000000" w:themeColor="text1"/>
              </w:rPr>
            </w:pPr>
            <w:r>
              <w:rPr>
                <w:rFonts w:ascii="Arial" w:hAnsi="Arial"/>
                <w:b/>
                <w:color w:val="000000" w:themeColor="text1"/>
              </w:rPr>
              <w:t>1,379</w:t>
            </w:r>
          </w:p>
        </w:tc>
        <w:tc>
          <w:tcPr>
            <w:tcW w:w="2520" w:type="dxa"/>
            <w:tcBorders>
              <w:top w:val="double" w:sz="4" w:space="0" w:color="auto"/>
              <w:left w:val="double" w:sz="4" w:space="0" w:color="auto"/>
              <w:bottom w:val="single" w:sz="4" w:space="0" w:color="auto"/>
              <w:right w:val="double" w:sz="4" w:space="0" w:color="auto"/>
            </w:tcBorders>
            <w:vAlign w:val="center"/>
          </w:tcPr>
          <w:p w:rsidR="006120DF" w:rsidRPr="00B5156C" w:rsidRDefault="006120DF" w:rsidP="000A0429">
            <w:pPr>
              <w:jc w:val="center"/>
              <w:rPr>
                <w:rFonts w:ascii="Arial" w:hAnsi="Arial" w:cs="Arial"/>
                <w:b/>
                <w:color w:val="000000" w:themeColor="text1"/>
              </w:rPr>
            </w:pPr>
            <w:r>
              <w:rPr>
                <w:rFonts w:ascii="Arial" w:hAnsi="Arial"/>
                <w:b/>
                <w:color w:val="000000" w:themeColor="text1"/>
              </w:rPr>
              <w:t>1,478.1</w:t>
            </w:r>
          </w:p>
        </w:tc>
        <w:tc>
          <w:tcPr>
            <w:tcW w:w="2627" w:type="dxa"/>
            <w:tcBorders>
              <w:top w:val="double" w:sz="4" w:space="0" w:color="auto"/>
              <w:left w:val="double" w:sz="4" w:space="0" w:color="auto"/>
              <w:bottom w:val="single" w:sz="4" w:space="0" w:color="auto"/>
              <w:right w:val="nil"/>
            </w:tcBorders>
            <w:shd w:val="clear" w:color="auto" w:fill="FFFFFF" w:themeFill="background1"/>
          </w:tcPr>
          <w:p w:rsidR="006120DF" w:rsidRPr="00B5156C" w:rsidRDefault="006120DF" w:rsidP="000A0429">
            <w:pPr>
              <w:jc w:val="center"/>
              <w:rPr>
                <w:rFonts w:ascii="Arial" w:hAnsi="Arial" w:cs="Arial"/>
                <w:b/>
                <w:color w:val="000000" w:themeColor="text1"/>
              </w:rPr>
            </w:pPr>
            <w:r>
              <w:rPr>
                <w:rFonts w:ascii="Arial" w:hAnsi="Arial" w:hint="eastAsia"/>
                <w:b/>
                <w:color w:val="000000" w:themeColor="text1"/>
              </w:rPr>
              <w:t>1,</w:t>
            </w:r>
            <w:r>
              <w:rPr>
                <w:rFonts w:ascii="Arial" w:hAnsi="Arial"/>
                <w:b/>
                <w:color w:val="000000" w:themeColor="text1"/>
              </w:rPr>
              <w:t>395.4</w:t>
            </w:r>
          </w:p>
        </w:tc>
      </w:tr>
      <w:tr w:rsidR="006120DF" w:rsidRPr="003A723F" w:rsidTr="000A0429">
        <w:trPr>
          <w:trHeight w:val="363"/>
        </w:trPr>
        <w:tc>
          <w:tcPr>
            <w:tcW w:w="2295" w:type="dxa"/>
            <w:tcBorders>
              <w:bottom w:val="single" w:sz="4" w:space="0" w:color="auto"/>
              <w:right w:val="double" w:sz="4" w:space="0" w:color="auto"/>
            </w:tcBorders>
            <w:vAlign w:val="center"/>
          </w:tcPr>
          <w:p w:rsidR="006120DF" w:rsidRPr="00B5156C" w:rsidRDefault="006120DF" w:rsidP="000A0429">
            <w:pPr>
              <w:snapToGrid w:val="0"/>
              <w:ind w:rightChars="56" w:right="112"/>
              <w:jc w:val="center"/>
              <w:rPr>
                <w:rFonts w:ascii="Arial" w:hAnsi="Arial" w:cs="Arial"/>
                <w:b/>
                <w:color w:val="000000" w:themeColor="text1"/>
              </w:rPr>
            </w:pPr>
            <w:r>
              <w:rPr>
                <w:rFonts w:ascii="Arial" w:hAnsi="Arial"/>
                <w:b/>
                <w:color w:val="000000" w:themeColor="text1"/>
              </w:rPr>
              <w:t>Operating Profit</w:t>
            </w:r>
          </w:p>
        </w:tc>
        <w:tc>
          <w:tcPr>
            <w:tcW w:w="2626" w:type="dxa"/>
            <w:tcBorders>
              <w:left w:val="double" w:sz="4" w:space="0" w:color="auto"/>
              <w:bottom w:val="single" w:sz="4" w:space="0" w:color="auto"/>
              <w:right w:val="double" w:sz="4" w:space="0" w:color="auto"/>
            </w:tcBorders>
            <w:shd w:val="clear" w:color="auto" w:fill="auto"/>
          </w:tcPr>
          <w:p w:rsidR="006120DF" w:rsidRPr="00B5156C" w:rsidRDefault="006120DF" w:rsidP="000A0429">
            <w:pPr>
              <w:jc w:val="center"/>
              <w:rPr>
                <w:rFonts w:ascii="Arial" w:hAnsi="Arial" w:cs="Arial"/>
                <w:b/>
                <w:color w:val="000000" w:themeColor="text1"/>
              </w:rPr>
            </w:pPr>
            <w:r>
              <w:rPr>
                <w:rFonts w:ascii="Arial" w:hAnsi="Arial"/>
                <w:b/>
                <w:color w:val="000000" w:themeColor="text1"/>
              </w:rPr>
              <w:t>206.5</w:t>
            </w:r>
          </w:p>
        </w:tc>
        <w:tc>
          <w:tcPr>
            <w:tcW w:w="2520" w:type="dxa"/>
            <w:tcBorders>
              <w:left w:val="double" w:sz="4" w:space="0" w:color="auto"/>
              <w:bottom w:val="single" w:sz="4" w:space="0" w:color="auto"/>
              <w:right w:val="double" w:sz="4" w:space="0" w:color="auto"/>
            </w:tcBorders>
            <w:vAlign w:val="center"/>
          </w:tcPr>
          <w:p w:rsidR="006120DF" w:rsidRPr="00B5156C" w:rsidRDefault="006120DF" w:rsidP="000A0429">
            <w:pPr>
              <w:jc w:val="center"/>
              <w:rPr>
                <w:rFonts w:ascii="Arial" w:hAnsi="Arial" w:cs="Arial"/>
                <w:b/>
                <w:color w:val="000000" w:themeColor="text1"/>
              </w:rPr>
            </w:pPr>
            <w:r>
              <w:rPr>
                <w:rFonts w:ascii="Arial" w:hAnsi="Arial"/>
                <w:b/>
                <w:color w:val="000000" w:themeColor="text1"/>
              </w:rPr>
              <w:t>269.8</w:t>
            </w:r>
          </w:p>
        </w:tc>
        <w:tc>
          <w:tcPr>
            <w:tcW w:w="2627" w:type="dxa"/>
            <w:tcBorders>
              <w:left w:val="double" w:sz="4" w:space="0" w:color="auto"/>
              <w:bottom w:val="single" w:sz="4" w:space="0" w:color="auto"/>
              <w:right w:val="nil"/>
            </w:tcBorders>
            <w:shd w:val="clear" w:color="auto" w:fill="FFFFFF" w:themeFill="background1"/>
          </w:tcPr>
          <w:p w:rsidR="006120DF" w:rsidRPr="00B5156C" w:rsidRDefault="006120DF" w:rsidP="000A0429">
            <w:pPr>
              <w:jc w:val="center"/>
              <w:rPr>
                <w:rFonts w:ascii="Arial" w:hAnsi="Arial" w:cs="Arial"/>
                <w:b/>
                <w:color w:val="000000" w:themeColor="text1"/>
              </w:rPr>
            </w:pPr>
            <w:r>
              <w:rPr>
                <w:rFonts w:ascii="Arial" w:hAnsi="Arial" w:hint="eastAsia"/>
                <w:b/>
                <w:color w:val="000000" w:themeColor="text1"/>
              </w:rPr>
              <w:t>2</w:t>
            </w:r>
            <w:r>
              <w:rPr>
                <w:rFonts w:ascii="Arial" w:hAnsi="Arial"/>
                <w:b/>
                <w:color w:val="000000" w:themeColor="text1"/>
              </w:rPr>
              <w:t>07.1</w:t>
            </w:r>
          </w:p>
        </w:tc>
      </w:tr>
      <w:tr w:rsidR="006120DF" w:rsidRPr="003A723F" w:rsidTr="000A0429">
        <w:trPr>
          <w:trHeight w:val="363"/>
        </w:trPr>
        <w:tc>
          <w:tcPr>
            <w:tcW w:w="2295" w:type="dxa"/>
            <w:tcBorders>
              <w:top w:val="single" w:sz="4" w:space="0" w:color="auto"/>
              <w:bottom w:val="nil"/>
              <w:right w:val="nil"/>
            </w:tcBorders>
            <w:shd w:val="clear" w:color="auto" w:fill="FFFFFF" w:themeFill="background1"/>
            <w:vAlign w:val="center"/>
          </w:tcPr>
          <w:p w:rsidR="006120DF" w:rsidRPr="003A723F" w:rsidRDefault="006120DF" w:rsidP="000A0429">
            <w:pPr>
              <w:snapToGrid w:val="0"/>
              <w:ind w:rightChars="56" w:right="112"/>
              <w:jc w:val="center"/>
              <w:rPr>
                <w:rFonts w:ascii="Arial" w:hAnsi="Arial" w:cs="Arial"/>
                <w:b/>
                <w:color w:val="000000" w:themeColor="text1"/>
              </w:rPr>
            </w:pPr>
          </w:p>
        </w:tc>
        <w:tc>
          <w:tcPr>
            <w:tcW w:w="2626" w:type="dxa"/>
            <w:tcBorders>
              <w:top w:val="single" w:sz="4" w:space="0" w:color="auto"/>
              <w:left w:val="nil"/>
              <w:bottom w:val="nil"/>
              <w:right w:val="nil"/>
            </w:tcBorders>
            <w:shd w:val="clear" w:color="auto" w:fill="FFFFFF" w:themeFill="background1"/>
            <w:vAlign w:val="center"/>
          </w:tcPr>
          <w:p w:rsidR="006120DF" w:rsidRPr="003A723F" w:rsidRDefault="006120DF" w:rsidP="000A0429">
            <w:pPr>
              <w:snapToGrid w:val="0"/>
              <w:ind w:rightChars="56" w:right="112"/>
              <w:jc w:val="center"/>
              <w:rPr>
                <w:rFonts w:ascii="Arial" w:hAnsi="Arial" w:cs="Arial"/>
                <w:b/>
                <w:color w:val="000000" w:themeColor="text1"/>
              </w:rPr>
            </w:pPr>
          </w:p>
        </w:tc>
        <w:tc>
          <w:tcPr>
            <w:tcW w:w="2520" w:type="dxa"/>
            <w:tcBorders>
              <w:top w:val="single" w:sz="4" w:space="0" w:color="auto"/>
              <w:left w:val="nil"/>
              <w:bottom w:val="nil"/>
              <w:right w:val="nil"/>
            </w:tcBorders>
            <w:shd w:val="clear" w:color="auto" w:fill="FFFFFF" w:themeFill="background1"/>
            <w:vAlign w:val="center"/>
          </w:tcPr>
          <w:p w:rsidR="006120DF" w:rsidRPr="008D569C" w:rsidRDefault="006120DF" w:rsidP="000A0429">
            <w:pPr>
              <w:snapToGrid w:val="0"/>
              <w:ind w:rightChars="56" w:right="112"/>
              <w:jc w:val="center"/>
              <w:rPr>
                <w:rFonts w:ascii="Arial" w:hAnsi="Arial" w:cs="Arial"/>
                <w:b/>
              </w:rPr>
            </w:pPr>
          </w:p>
        </w:tc>
        <w:tc>
          <w:tcPr>
            <w:tcW w:w="2627" w:type="dxa"/>
            <w:tcBorders>
              <w:top w:val="single" w:sz="4" w:space="0" w:color="auto"/>
              <w:left w:val="nil"/>
              <w:bottom w:val="nil"/>
              <w:right w:val="nil"/>
            </w:tcBorders>
            <w:shd w:val="clear" w:color="auto" w:fill="FFFFFF" w:themeFill="background1"/>
            <w:vAlign w:val="center"/>
          </w:tcPr>
          <w:p w:rsidR="006120DF" w:rsidRPr="003A723F" w:rsidRDefault="006120DF" w:rsidP="000A0429">
            <w:pPr>
              <w:snapToGrid w:val="0"/>
              <w:ind w:rightChars="56" w:right="112"/>
              <w:jc w:val="center"/>
              <w:rPr>
                <w:rFonts w:ascii="Arial" w:hAnsi="Arial" w:cs="Arial"/>
                <w:b/>
                <w:color w:val="000000" w:themeColor="text1"/>
              </w:rPr>
            </w:pPr>
          </w:p>
        </w:tc>
      </w:tr>
      <w:tr w:rsidR="006120DF" w:rsidRPr="003A723F" w:rsidTr="000A0429">
        <w:trPr>
          <w:trHeight w:val="363"/>
        </w:trPr>
        <w:tc>
          <w:tcPr>
            <w:tcW w:w="2295" w:type="dxa"/>
            <w:tcBorders>
              <w:top w:val="nil"/>
              <w:bottom w:val="double" w:sz="4" w:space="0" w:color="auto"/>
              <w:right w:val="double" w:sz="4" w:space="0" w:color="auto"/>
            </w:tcBorders>
            <w:shd w:val="clear" w:color="auto" w:fill="7F7F7F" w:themeFill="text1" w:themeFillTint="80"/>
            <w:vAlign w:val="center"/>
          </w:tcPr>
          <w:p w:rsidR="006120DF" w:rsidRPr="00B5156C" w:rsidRDefault="006120DF" w:rsidP="000A0429">
            <w:pPr>
              <w:snapToGrid w:val="0"/>
              <w:ind w:rightChars="56" w:right="112"/>
              <w:jc w:val="center"/>
              <w:rPr>
                <w:rFonts w:ascii="Arial" w:hAnsi="Arial" w:cs="Arial"/>
                <w:b/>
                <w:color w:val="FFFFFF" w:themeColor="background1"/>
              </w:rPr>
            </w:pPr>
            <w:r>
              <w:rPr>
                <w:rFonts w:ascii="Arial" w:hAnsi="Arial"/>
                <w:b/>
                <w:color w:val="FFFFFF" w:themeColor="background1"/>
              </w:rPr>
              <w:t>(Unit: Million EUR)</w:t>
            </w:r>
          </w:p>
        </w:tc>
        <w:tc>
          <w:tcPr>
            <w:tcW w:w="2626" w:type="dxa"/>
            <w:tcBorders>
              <w:top w:val="nil"/>
              <w:left w:val="double" w:sz="4" w:space="0" w:color="auto"/>
              <w:bottom w:val="double" w:sz="4" w:space="0" w:color="auto"/>
              <w:right w:val="double" w:sz="4" w:space="0" w:color="auto"/>
            </w:tcBorders>
            <w:shd w:val="clear" w:color="auto" w:fill="7F7F7F" w:themeFill="text1" w:themeFillTint="80"/>
            <w:vAlign w:val="center"/>
          </w:tcPr>
          <w:p w:rsidR="006120DF" w:rsidRPr="00B5156C" w:rsidRDefault="006120DF" w:rsidP="000A0429">
            <w:pPr>
              <w:snapToGrid w:val="0"/>
              <w:ind w:rightChars="56" w:right="112"/>
              <w:jc w:val="center"/>
              <w:rPr>
                <w:rFonts w:ascii="Arial" w:hAnsi="Arial" w:cs="Arial"/>
                <w:b/>
                <w:color w:val="FFFFFF" w:themeColor="background1"/>
              </w:rPr>
            </w:pPr>
            <w:r>
              <w:rPr>
                <w:rFonts w:ascii="Arial" w:hAnsi="Arial" w:hint="eastAsia"/>
                <w:b/>
                <w:color w:val="FFFFFF" w:themeColor="background1"/>
              </w:rPr>
              <w:t xml:space="preserve">Q4 </w:t>
            </w:r>
            <w:r>
              <w:rPr>
                <w:rFonts w:ascii="Arial" w:hAnsi="Arial"/>
                <w:b/>
                <w:color w:val="FFFFFF" w:themeColor="background1"/>
              </w:rPr>
              <w:t>FY 2015</w:t>
            </w:r>
          </w:p>
        </w:tc>
        <w:tc>
          <w:tcPr>
            <w:tcW w:w="2520" w:type="dxa"/>
            <w:tcBorders>
              <w:top w:val="nil"/>
              <w:left w:val="double" w:sz="4" w:space="0" w:color="auto"/>
              <w:bottom w:val="double" w:sz="4" w:space="0" w:color="auto"/>
              <w:right w:val="double" w:sz="4" w:space="0" w:color="auto"/>
            </w:tcBorders>
            <w:shd w:val="clear" w:color="auto" w:fill="7F7F7F" w:themeFill="text1" w:themeFillTint="80"/>
            <w:vAlign w:val="center"/>
          </w:tcPr>
          <w:p w:rsidR="006120DF" w:rsidRPr="00B5156C" w:rsidRDefault="006120DF" w:rsidP="000A0429">
            <w:pPr>
              <w:snapToGrid w:val="0"/>
              <w:ind w:rightChars="56" w:right="112"/>
              <w:jc w:val="center"/>
              <w:rPr>
                <w:rFonts w:ascii="Arial" w:hAnsi="Arial" w:cs="Arial"/>
                <w:b/>
                <w:color w:val="FFFFFF" w:themeColor="background1"/>
              </w:rPr>
            </w:pPr>
            <w:r>
              <w:rPr>
                <w:rFonts w:ascii="Arial" w:hAnsi="Arial" w:hint="eastAsia"/>
                <w:b/>
                <w:color w:val="FFFFFF" w:themeColor="background1"/>
              </w:rPr>
              <w:t xml:space="preserve">Q3 </w:t>
            </w:r>
            <w:r>
              <w:rPr>
                <w:rFonts w:ascii="Arial" w:hAnsi="Arial"/>
                <w:b/>
                <w:color w:val="FFFFFF" w:themeColor="background1"/>
              </w:rPr>
              <w:t>FY 2016</w:t>
            </w:r>
          </w:p>
        </w:tc>
        <w:tc>
          <w:tcPr>
            <w:tcW w:w="2627" w:type="dxa"/>
            <w:tcBorders>
              <w:top w:val="nil"/>
              <w:left w:val="double" w:sz="4" w:space="0" w:color="auto"/>
              <w:bottom w:val="double" w:sz="4" w:space="0" w:color="auto"/>
              <w:right w:val="nil"/>
            </w:tcBorders>
            <w:shd w:val="clear" w:color="auto" w:fill="7F7F7F" w:themeFill="text1" w:themeFillTint="80"/>
            <w:vAlign w:val="center"/>
          </w:tcPr>
          <w:p w:rsidR="006120DF" w:rsidRPr="00B5156C" w:rsidRDefault="006120DF" w:rsidP="000A0429">
            <w:pPr>
              <w:snapToGrid w:val="0"/>
              <w:ind w:rightChars="56" w:right="112"/>
              <w:jc w:val="center"/>
              <w:rPr>
                <w:rFonts w:ascii="Arial" w:hAnsi="Arial" w:cs="Arial"/>
                <w:b/>
                <w:color w:val="FFFFFF" w:themeColor="background1"/>
              </w:rPr>
            </w:pPr>
            <w:r>
              <w:rPr>
                <w:rFonts w:ascii="Arial" w:hAnsi="Arial" w:hint="eastAsia"/>
                <w:b/>
                <w:color w:val="FFFFFF" w:themeColor="background1"/>
              </w:rPr>
              <w:t xml:space="preserve">Q4 </w:t>
            </w:r>
            <w:r>
              <w:rPr>
                <w:rFonts w:ascii="Arial" w:hAnsi="Arial"/>
                <w:b/>
                <w:color w:val="FFFFFF" w:themeColor="background1"/>
              </w:rPr>
              <w:t>FY 2016</w:t>
            </w:r>
          </w:p>
        </w:tc>
      </w:tr>
      <w:tr w:rsidR="006120DF" w:rsidRPr="003A723F" w:rsidTr="000A0429">
        <w:trPr>
          <w:trHeight w:val="363"/>
        </w:trPr>
        <w:tc>
          <w:tcPr>
            <w:tcW w:w="2295" w:type="dxa"/>
            <w:tcBorders>
              <w:top w:val="double" w:sz="4" w:space="0" w:color="auto"/>
              <w:right w:val="double" w:sz="4" w:space="0" w:color="auto"/>
            </w:tcBorders>
            <w:vAlign w:val="center"/>
          </w:tcPr>
          <w:p w:rsidR="006120DF" w:rsidRPr="00B5156C" w:rsidRDefault="006120DF" w:rsidP="000A0429">
            <w:pPr>
              <w:snapToGrid w:val="0"/>
              <w:ind w:rightChars="56" w:right="112"/>
              <w:jc w:val="center"/>
              <w:rPr>
                <w:rFonts w:ascii="Arial" w:hAnsi="Arial" w:cs="Arial"/>
                <w:b/>
                <w:color w:val="000000" w:themeColor="text1"/>
              </w:rPr>
            </w:pPr>
            <w:r>
              <w:rPr>
                <w:rFonts w:ascii="Arial" w:hAnsi="Arial"/>
                <w:b/>
                <w:color w:val="000000" w:themeColor="text1"/>
              </w:rPr>
              <w:t>Sales</w:t>
            </w:r>
          </w:p>
        </w:tc>
        <w:tc>
          <w:tcPr>
            <w:tcW w:w="2626" w:type="dxa"/>
            <w:tcBorders>
              <w:top w:val="double" w:sz="4" w:space="0" w:color="auto"/>
              <w:left w:val="double" w:sz="4" w:space="0" w:color="auto"/>
              <w:right w:val="double" w:sz="4" w:space="0" w:color="auto"/>
            </w:tcBorders>
            <w:shd w:val="clear" w:color="auto" w:fill="auto"/>
          </w:tcPr>
          <w:p w:rsidR="006120DF" w:rsidRPr="00B5156C" w:rsidRDefault="006120DF" w:rsidP="000A0429">
            <w:pPr>
              <w:jc w:val="center"/>
              <w:rPr>
                <w:rFonts w:ascii="Arial" w:hAnsi="Arial" w:cs="Arial"/>
                <w:b/>
                <w:color w:val="000000" w:themeColor="text1"/>
              </w:rPr>
            </w:pPr>
            <w:r>
              <w:rPr>
                <w:rFonts w:ascii="Arial" w:hAnsi="Arial"/>
                <w:b/>
                <w:color w:val="000000" w:themeColor="text1"/>
              </w:rPr>
              <w:t>1,259.5</w:t>
            </w:r>
          </w:p>
        </w:tc>
        <w:tc>
          <w:tcPr>
            <w:tcW w:w="2520" w:type="dxa"/>
            <w:tcBorders>
              <w:top w:val="double" w:sz="4" w:space="0" w:color="auto"/>
              <w:left w:val="double" w:sz="4" w:space="0" w:color="auto"/>
              <w:right w:val="double" w:sz="4" w:space="0" w:color="auto"/>
            </w:tcBorders>
            <w:vAlign w:val="center"/>
          </w:tcPr>
          <w:p w:rsidR="006120DF" w:rsidRPr="00B5156C" w:rsidRDefault="006120DF" w:rsidP="000A0429">
            <w:pPr>
              <w:jc w:val="center"/>
              <w:rPr>
                <w:rFonts w:ascii="Arial" w:hAnsi="Arial" w:cs="Arial"/>
                <w:b/>
                <w:color w:val="000000" w:themeColor="text1"/>
              </w:rPr>
            </w:pPr>
            <w:r>
              <w:rPr>
                <w:rFonts w:ascii="Arial" w:hAnsi="Arial"/>
                <w:b/>
                <w:color w:val="000000" w:themeColor="text1"/>
              </w:rPr>
              <w:t>1,324.9</w:t>
            </w:r>
          </w:p>
        </w:tc>
        <w:tc>
          <w:tcPr>
            <w:tcW w:w="2627" w:type="dxa"/>
            <w:tcBorders>
              <w:top w:val="double" w:sz="4" w:space="0" w:color="auto"/>
              <w:left w:val="double" w:sz="4" w:space="0" w:color="auto"/>
              <w:right w:val="nil"/>
            </w:tcBorders>
            <w:shd w:val="clear" w:color="auto" w:fill="FFFFFF" w:themeFill="background1"/>
          </w:tcPr>
          <w:p w:rsidR="006120DF" w:rsidRPr="00B5156C" w:rsidRDefault="006120DF" w:rsidP="000A0429">
            <w:pPr>
              <w:jc w:val="center"/>
              <w:rPr>
                <w:rFonts w:ascii="Arial" w:hAnsi="Arial" w:cs="Arial"/>
                <w:b/>
                <w:color w:val="000000" w:themeColor="text1"/>
              </w:rPr>
            </w:pPr>
            <w:r>
              <w:rPr>
                <w:rFonts w:ascii="Arial" w:hAnsi="Arial"/>
                <w:b/>
                <w:color w:val="000000" w:themeColor="text1"/>
              </w:rPr>
              <w:t>1,295.0</w:t>
            </w:r>
          </w:p>
        </w:tc>
      </w:tr>
      <w:tr w:rsidR="006120DF" w:rsidRPr="003A723F" w:rsidTr="000A0429">
        <w:trPr>
          <w:trHeight w:val="363"/>
        </w:trPr>
        <w:tc>
          <w:tcPr>
            <w:tcW w:w="2295" w:type="dxa"/>
            <w:tcBorders>
              <w:right w:val="double" w:sz="4" w:space="0" w:color="auto"/>
            </w:tcBorders>
            <w:vAlign w:val="center"/>
          </w:tcPr>
          <w:p w:rsidR="006120DF" w:rsidRPr="00B5156C" w:rsidRDefault="006120DF" w:rsidP="000A0429">
            <w:pPr>
              <w:snapToGrid w:val="0"/>
              <w:ind w:rightChars="56" w:right="112"/>
              <w:jc w:val="center"/>
              <w:rPr>
                <w:rFonts w:ascii="Arial" w:hAnsi="Arial" w:cs="Arial"/>
                <w:b/>
                <w:color w:val="000000" w:themeColor="text1"/>
              </w:rPr>
            </w:pPr>
            <w:r>
              <w:rPr>
                <w:rFonts w:ascii="Arial" w:hAnsi="Arial"/>
                <w:b/>
                <w:color w:val="000000" w:themeColor="text1"/>
              </w:rPr>
              <w:t>Operating Profit</w:t>
            </w:r>
          </w:p>
        </w:tc>
        <w:tc>
          <w:tcPr>
            <w:tcW w:w="2626" w:type="dxa"/>
            <w:tcBorders>
              <w:left w:val="double" w:sz="4" w:space="0" w:color="auto"/>
              <w:right w:val="double" w:sz="4" w:space="0" w:color="auto"/>
            </w:tcBorders>
            <w:shd w:val="clear" w:color="auto" w:fill="auto"/>
          </w:tcPr>
          <w:p w:rsidR="006120DF" w:rsidRPr="00B5156C" w:rsidRDefault="006120DF" w:rsidP="000A0429">
            <w:pPr>
              <w:jc w:val="center"/>
              <w:rPr>
                <w:rFonts w:ascii="Arial" w:hAnsi="Arial" w:cs="Arial"/>
                <w:b/>
                <w:color w:val="000000" w:themeColor="text1"/>
              </w:rPr>
            </w:pPr>
            <w:r>
              <w:rPr>
                <w:rFonts w:ascii="Arial" w:hAnsi="Arial"/>
                <w:b/>
                <w:color w:val="000000" w:themeColor="text1"/>
              </w:rPr>
              <w:t>188.6</w:t>
            </w:r>
          </w:p>
        </w:tc>
        <w:tc>
          <w:tcPr>
            <w:tcW w:w="2520" w:type="dxa"/>
            <w:tcBorders>
              <w:left w:val="double" w:sz="4" w:space="0" w:color="auto"/>
              <w:right w:val="double" w:sz="4" w:space="0" w:color="auto"/>
            </w:tcBorders>
            <w:vAlign w:val="center"/>
          </w:tcPr>
          <w:p w:rsidR="006120DF" w:rsidRPr="00B5156C" w:rsidRDefault="006120DF" w:rsidP="000A0429">
            <w:pPr>
              <w:jc w:val="center"/>
              <w:rPr>
                <w:rFonts w:ascii="Arial" w:hAnsi="Arial" w:cs="Arial"/>
                <w:b/>
                <w:color w:val="000000" w:themeColor="text1"/>
              </w:rPr>
            </w:pPr>
            <w:r>
              <w:rPr>
                <w:rFonts w:ascii="Arial" w:hAnsi="Arial"/>
                <w:b/>
                <w:color w:val="000000" w:themeColor="text1"/>
              </w:rPr>
              <w:t>241.8</w:t>
            </w:r>
          </w:p>
        </w:tc>
        <w:tc>
          <w:tcPr>
            <w:tcW w:w="2627" w:type="dxa"/>
            <w:tcBorders>
              <w:left w:val="double" w:sz="4" w:space="0" w:color="auto"/>
              <w:right w:val="nil"/>
            </w:tcBorders>
            <w:shd w:val="clear" w:color="auto" w:fill="FFFFFF" w:themeFill="background1"/>
          </w:tcPr>
          <w:p w:rsidR="006120DF" w:rsidRPr="00B5156C" w:rsidRDefault="006120DF" w:rsidP="000A0429">
            <w:pPr>
              <w:jc w:val="center"/>
              <w:rPr>
                <w:rFonts w:ascii="Arial" w:hAnsi="Arial" w:cs="Arial"/>
                <w:b/>
                <w:color w:val="000000" w:themeColor="text1"/>
              </w:rPr>
            </w:pPr>
            <w:r>
              <w:rPr>
                <w:rFonts w:ascii="Arial" w:hAnsi="Arial"/>
                <w:b/>
                <w:color w:val="000000" w:themeColor="text1"/>
              </w:rPr>
              <w:t>192.2</w:t>
            </w:r>
          </w:p>
        </w:tc>
      </w:tr>
    </w:tbl>
    <w:p w:rsidR="006120DF" w:rsidRPr="003A723F" w:rsidRDefault="006120DF" w:rsidP="006120DF">
      <w:pPr>
        <w:snapToGrid w:val="0"/>
        <w:spacing w:line="276" w:lineRule="auto"/>
        <w:ind w:leftChars="71" w:left="142" w:rightChars="56" w:right="112"/>
        <w:rPr>
          <w:rFonts w:ascii="Arial" w:hAnsi="Arial" w:cs="Arial"/>
          <w:color w:val="000000" w:themeColor="text1"/>
          <w:sz w:val="22"/>
          <w:szCs w:val="22"/>
        </w:rPr>
      </w:pPr>
    </w:p>
    <w:p w:rsidR="006120DF" w:rsidRPr="00950A55" w:rsidRDefault="006120DF" w:rsidP="006120DF">
      <w:pPr>
        <w:snapToGrid w:val="0"/>
        <w:spacing w:line="276" w:lineRule="auto"/>
        <w:ind w:leftChars="71" w:left="142" w:rightChars="56" w:right="112"/>
        <w:rPr>
          <w:rFonts w:ascii="Arial" w:hAnsi="Arial" w:cs="Arial"/>
          <w:b/>
          <w:i/>
          <w:color w:val="000000" w:themeColor="text1"/>
        </w:rPr>
      </w:pPr>
      <w:r>
        <w:rPr>
          <w:rFonts w:ascii="Arial" w:hAnsi="Arial"/>
          <w:b/>
          <w:i/>
          <w:color w:val="000000" w:themeColor="text1"/>
        </w:rPr>
        <w:t>*Exchange Rates:</w:t>
      </w:r>
    </w:p>
    <w:tbl>
      <w:tblPr>
        <w:tblStyle w:val="Tabellenraster"/>
        <w:tblW w:w="0" w:type="auto"/>
        <w:tblInd w:w="250"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2099"/>
        <w:gridCol w:w="2659"/>
        <w:gridCol w:w="2313"/>
        <w:gridCol w:w="2533"/>
      </w:tblGrid>
      <w:tr w:rsidR="006120DF" w:rsidRPr="003A723F" w:rsidTr="000A0429">
        <w:trPr>
          <w:trHeight w:val="363"/>
        </w:trPr>
        <w:tc>
          <w:tcPr>
            <w:tcW w:w="2203" w:type="dxa"/>
            <w:tcBorders>
              <w:bottom w:val="double" w:sz="4" w:space="0" w:color="auto"/>
              <w:right w:val="double" w:sz="4" w:space="0" w:color="auto"/>
            </w:tcBorders>
            <w:shd w:val="clear" w:color="auto" w:fill="7F7F7F" w:themeFill="text1" w:themeFillTint="80"/>
            <w:vAlign w:val="center"/>
          </w:tcPr>
          <w:p w:rsidR="006120DF" w:rsidRPr="00B5156C" w:rsidRDefault="006120DF" w:rsidP="000A0429">
            <w:pPr>
              <w:snapToGrid w:val="0"/>
              <w:ind w:rightChars="56" w:right="112"/>
              <w:jc w:val="center"/>
              <w:rPr>
                <w:rFonts w:ascii="Arial" w:hAnsi="Arial" w:cs="Arial"/>
                <w:b/>
                <w:color w:val="FFFFFF" w:themeColor="background1"/>
              </w:rPr>
            </w:pPr>
          </w:p>
        </w:tc>
        <w:tc>
          <w:tcPr>
            <w:tcW w:w="2792" w:type="dxa"/>
            <w:tcBorders>
              <w:left w:val="double" w:sz="4" w:space="0" w:color="auto"/>
              <w:bottom w:val="double" w:sz="4" w:space="0" w:color="auto"/>
              <w:right w:val="double" w:sz="4" w:space="0" w:color="auto"/>
            </w:tcBorders>
            <w:shd w:val="clear" w:color="auto" w:fill="7F7F7F" w:themeFill="text1" w:themeFillTint="80"/>
            <w:vAlign w:val="center"/>
          </w:tcPr>
          <w:p w:rsidR="006120DF" w:rsidRPr="00B5156C" w:rsidRDefault="006120DF" w:rsidP="000A0429">
            <w:pPr>
              <w:snapToGrid w:val="0"/>
              <w:ind w:rightChars="56" w:right="112"/>
              <w:jc w:val="center"/>
              <w:rPr>
                <w:rFonts w:ascii="Arial" w:hAnsi="Arial" w:cs="Arial"/>
                <w:b/>
                <w:color w:val="FFFFFF" w:themeColor="background1"/>
              </w:rPr>
            </w:pPr>
            <w:r>
              <w:rPr>
                <w:rFonts w:ascii="Arial" w:hAnsi="Arial" w:hint="eastAsia"/>
                <w:b/>
                <w:color w:val="FFFFFF" w:themeColor="background1"/>
              </w:rPr>
              <w:t xml:space="preserve">Q4 </w:t>
            </w:r>
            <w:r>
              <w:rPr>
                <w:rFonts w:ascii="Arial" w:hAnsi="Arial"/>
                <w:b/>
                <w:color w:val="FFFFFF" w:themeColor="background1"/>
              </w:rPr>
              <w:t>FY 2015</w:t>
            </w:r>
          </w:p>
        </w:tc>
        <w:tc>
          <w:tcPr>
            <w:tcW w:w="2417" w:type="dxa"/>
            <w:tcBorders>
              <w:left w:val="double" w:sz="4" w:space="0" w:color="auto"/>
              <w:bottom w:val="double" w:sz="4" w:space="0" w:color="auto"/>
              <w:right w:val="double" w:sz="4" w:space="0" w:color="auto"/>
            </w:tcBorders>
            <w:shd w:val="clear" w:color="auto" w:fill="7F7F7F" w:themeFill="text1" w:themeFillTint="80"/>
            <w:vAlign w:val="center"/>
          </w:tcPr>
          <w:p w:rsidR="006120DF" w:rsidRPr="00B5156C" w:rsidRDefault="006120DF" w:rsidP="000A0429">
            <w:pPr>
              <w:snapToGrid w:val="0"/>
              <w:ind w:rightChars="56" w:right="112"/>
              <w:jc w:val="center"/>
              <w:rPr>
                <w:rFonts w:ascii="Arial" w:hAnsi="Arial" w:cs="Arial"/>
                <w:b/>
                <w:color w:val="FFFFFF" w:themeColor="background1"/>
              </w:rPr>
            </w:pPr>
            <w:r>
              <w:rPr>
                <w:rFonts w:ascii="Arial" w:hAnsi="Arial" w:hint="eastAsia"/>
                <w:b/>
                <w:color w:val="FFFFFF" w:themeColor="background1"/>
              </w:rPr>
              <w:t xml:space="preserve">Q3 </w:t>
            </w:r>
            <w:r>
              <w:rPr>
                <w:rFonts w:ascii="Arial" w:hAnsi="Arial"/>
                <w:b/>
                <w:color w:val="FFFFFF" w:themeColor="background1"/>
              </w:rPr>
              <w:t>FY 2016</w:t>
            </w:r>
          </w:p>
        </w:tc>
        <w:tc>
          <w:tcPr>
            <w:tcW w:w="2656" w:type="dxa"/>
            <w:tcBorders>
              <w:left w:val="double" w:sz="4" w:space="0" w:color="auto"/>
              <w:bottom w:val="double" w:sz="4" w:space="0" w:color="auto"/>
              <w:right w:val="nil"/>
            </w:tcBorders>
            <w:shd w:val="clear" w:color="auto" w:fill="7F7F7F" w:themeFill="text1" w:themeFillTint="80"/>
            <w:vAlign w:val="center"/>
          </w:tcPr>
          <w:p w:rsidR="006120DF" w:rsidRPr="00B5156C" w:rsidRDefault="006120DF" w:rsidP="000A0429">
            <w:pPr>
              <w:snapToGrid w:val="0"/>
              <w:ind w:rightChars="56" w:right="112"/>
              <w:jc w:val="center"/>
              <w:rPr>
                <w:rFonts w:ascii="Arial" w:hAnsi="Arial" w:cs="Arial"/>
                <w:b/>
                <w:color w:val="FFFFFF" w:themeColor="background1"/>
              </w:rPr>
            </w:pPr>
            <w:r>
              <w:rPr>
                <w:rFonts w:ascii="Arial" w:hAnsi="Arial" w:hint="eastAsia"/>
                <w:b/>
                <w:color w:val="FFFFFF" w:themeColor="background1"/>
              </w:rPr>
              <w:t xml:space="preserve">Q4 </w:t>
            </w:r>
            <w:r>
              <w:rPr>
                <w:rFonts w:ascii="Arial" w:hAnsi="Arial"/>
                <w:b/>
                <w:color w:val="FFFFFF" w:themeColor="background1"/>
              </w:rPr>
              <w:t>FY 2016</w:t>
            </w:r>
          </w:p>
        </w:tc>
      </w:tr>
      <w:tr w:rsidR="006120DF" w:rsidRPr="003A723F" w:rsidTr="000A0429">
        <w:trPr>
          <w:trHeight w:val="363"/>
        </w:trPr>
        <w:tc>
          <w:tcPr>
            <w:tcW w:w="2203" w:type="dxa"/>
            <w:tcBorders>
              <w:top w:val="double" w:sz="4" w:space="0" w:color="auto"/>
              <w:right w:val="double" w:sz="4" w:space="0" w:color="auto"/>
            </w:tcBorders>
            <w:vAlign w:val="center"/>
          </w:tcPr>
          <w:p w:rsidR="006120DF" w:rsidRPr="00B5156C" w:rsidRDefault="006120DF" w:rsidP="000A0429">
            <w:pPr>
              <w:snapToGrid w:val="0"/>
              <w:ind w:rightChars="56" w:right="112"/>
              <w:jc w:val="center"/>
              <w:rPr>
                <w:rFonts w:ascii="Arial" w:hAnsi="Arial" w:cs="Arial"/>
                <w:b/>
                <w:color w:val="000000" w:themeColor="text1"/>
              </w:rPr>
            </w:pPr>
            <w:r>
              <w:rPr>
                <w:rFonts w:ascii="Arial" w:hAnsi="Arial"/>
                <w:b/>
                <w:color w:val="000000" w:themeColor="text1"/>
              </w:rPr>
              <w:t>USD / KRW</w:t>
            </w:r>
          </w:p>
        </w:tc>
        <w:tc>
          <w:tcPr>
            <w:tcW w:w="2792" w:type="dxa"/>
            <w:tcBorders>
              <w:top w:val="double" w:sz="4" w:space="0" w:color="auto"/>
              <w:left w:val="double" w:sz="4" w:space="0" w:color="auto"/>
              <w:right w:val="double" w:sz="4" w:space="0" w:color="auto"/>
            </w:tcBorders>
          </w:tcPr>
          <w:p w:rsidR="006120DF" w:rsidRPr="00B5156C" w:rsidRDefault="006120DF" w:rsidP="000A0429">
            <w:pPr>
              <w:jc w:val="center"/>
              <w:rPr>
                <w:rFonts w:ascii="Arial" w:hAnsi="Arial" w:cs="Arial"/>
                <w:b/>
                <w:color w:val="000000" w:themeColor="text1"/>
              </w:rPr>
            </w:pPr>
            <w:r>
              <w:rPr>
                <w:rFonts w:ascii="Arial" w:hAnsi="Arial"/>
                <w:b/>
                <w:color w:val="000000" w:themeColor="text1"/>
              </w:rPr>
              <w:t>1,157.69</w:t>
            </w:r>
          </w:p>
        </w:tc>
        <w:tc>
          <w:tcPr>
            <w:tcW w:w="2417" w:type="dxa"/>
            <w:tcBorders>
              <w:top w:val="double" w:sz="4" w:space="0" w:color="auto"/>
              <w:left w:val="double" w:sz="4" w:space="0" w:color="auto"/>
              <w:right w:val="double" w:sz="4" w:space="0" w:color="auto"/>
            </w:tcBorders>
          </w:tcPr>
          <w:p w:rsidR="006120DF" w:rsidRPr="00B5156C" w:rsidRDefault="006120DF" w:rsidP="000A0429">
            <w:pPr>
              <w:jc w:val="center"/>
              <w:rPr>
                <w:rFonts w:ascii="Arial" w:hAnsi="Arial" w:cs="Arial"/>
                <w:b/>
                <w:color w:val="000000" w:themeColor="text1"/>
              </w:rPr>
            </w:pPr>
            <w:r>
              <w:rPr>
                <w:rFonts w:ascii="Arial" w:hAnsi="Arial" w:hint="eastAsia"/>
                <w:b/>
                <w:color w:val="000000" w:themeColor="text1"/>
              </w:rPr>
              <w:t>1</w:t>
            </w:r>
            <w:r>
              <w:rPr>
                <w:rFonts w:ascii="Arial" w:hAnsi="Arial"/>
                <w:b/>
                <w:color w:val="000000" w:themeColor="text1"/>
              </w:rPr>
              <w:t>,121.37</w:t>
            </w:r>
          </w:p>
        </w:tc>
        <w:tc>
          <w:tcPr>
            <w:tcW w:w="2656" w:type="dxa"/>
            <w:tcBorders>
              <w:top w:val="double" w:sz="4" w:space="0" w:color="auto"/>
              <w:left w:val="double" w:sz="4" w:space="0" w:color="auto"/>
              <w:right w:val="nil"/>
            </w:tcBorders>
          </w:tcPr>
          <w:p w:rsidR="006120DF" w:rsidRPr="00B5156C" w:rsidRDefault="006120DF" w:rsidP="000A0429">
            <w:pPr>
              <w:jc w:val="center"/>
              <w:rPr>
                <w:rFonts w:ascii="Arial" w:hAnsi="Arial" w:cs="Arial"/>
                <w:b/>
                <w:color w:val="000000" w:themeColor="text1"/>
              </w:rPr>
            </w:pPr>
            <w:r>
              <w:rPr>
                <w:rFonts w:ascii="Arial" w:hAnsi="Arial" w:hint="eastAsia"/>
                <w:b/>
                <w:color w:val="000000" w:themeColor="text1"/>
              </w:rPr>
              <w:t>1</w:t>
            </w:r>
            <w:r>
              <w:rPr>
                <w:rFonts w:ascii="Arial" w:hAnsi="Arial"/>
                <w:b/>
                <w:color w:val="000000" w:themeColor="text1"/>
              </w:rPr>
              <w:t>,157.37</w:t>
            </w:r>
          </w:p>
        </w:tc>
      </w:tr>
      <w:tr w:rsidR="006120DF" w:rsidRPr="003A723F" w:rsidTr="000A0429">
        <w:trPr>
          <w:trHeight w:val="363"/>
        </w:trPr>
        <w:tc>
          <w:tcPr>
            <w:tcW w:w="2203" w:type="dxa"/>
            <w:tcBorders>
              <w:right w:val="double" w:sz="4" w:space="0" w:color="auto"/>
            </w:tcBorders>
            <w:vAlign w:val="center"/>
          </w:tcPr>
          <w:p w:rsidR="006120DF" w:rsidRPr="00B5156C" w:rsidRDefault="006120DF" w:rsidP="000A0429">
            <w:pPr>
              <w:snapToGrid w:val="0"/>
              <w:ind w:rightChars="56" w:right="112"/>
              <w:jc w:val="center"/>
              <w:rPr>
                <w:rFonts w:ascii="Arial" w:hAnsi="Arial" w:cs="Arial"/>
                <w:b/>
                <w:color w:val="000000" w:themeColor="text1"/>
              </w:rPr>
            </w:pPr>
            <w:r>
              <w:rPr>
                <w:rFonts w:ascii="Arial" w:hAnsi="Arial"/>
                <w:b/>
                <w:color w:val="000000" w:themeColor="text1"/>
              </w:rPr>
              <w:t>EUR / KRW</w:t>
            </w:r>
          </w:p>
        </w:tc>
        <w:tc>
          <w:tcPr>
            <w:tcW w:w="2792" w:type="dxa"/>
            <w:tcBorders>
              <w:left w:val="double" w:sz="4" w:space="0" w:color="auto"/>
              <w:right w:val="double" w:sz="4" w:space="0" w:color="auto"/>
            </w:tcBorders>
          </w:tcPr>
          <w:p w:rsidR="006120DF" w:rsidRPr="00B5156C" w:rsidRDefault="006120DF" w:rsidP="000A0429">
            <w:pPr>
              <w:jc w:val="center"/>
              <w:rPr>
                <w:rFonts w:ascii="Arial" w:hAnsi="Arial" w:cs="Arial"/>
                <w:b/>
                <w:color w:val="000000" w:themeColor="text1"/>
              </w:rPr>
            </w:pPr>
            <w:r>
              <w:rPr>
                <w:rFonts w:ascii="Arial" w:hAnsi="Arial"/>
                <w:b/>
                <w:color w:val="000000" w:themeColor="text1"/>
              </w:rPr>
              <w:t>1,267.57</w:t>
            </w:r>
          </w:p>
        </w:tc>
        <w:tc>
          <w:tcPr>
            <w:tcW w:w="2417" w:type="dxa"/>
            <w:tcBorders>
              <w:left w:val="double" w:sz="4" w:space="0" w:color="auto"/>
              <w:right w:val="double" w:sz="4" w:space="0" w:color="auto"/>
            </w:tcBorders>
          </w:tcPr>
          <w:p w:rsidR="006120DF" w:rsidRPr="00B5156C" w:rsidRDefault="006120DF" w:rsidP="000A0429">
            <w:pPr>
              <w:jc w:val="center"/>
              <w:rPr>
                <w:rFonts w:ascii="Arial" w:hAnsi="Arial" w:cs="Arial"/>
                <w:b/>
                <w:color w:val="000000" w:themeColor="text1"/>
              </w:rPr>
            </w:pPr>
            <w:r>
              <w:rPr>
                <w:rFonts w:ascii="Arial" w:hAnsi="Arial"/>
                <w:b/>
                <w:color w:val="000000" w:themeColor="text1"/>
              </w:rPr>
              <w:t>1,251.04</w:t>
            </w:r>
          </w:p>
        </w:tc>
        <w:tc>
          <w:tcPr>
            <w:tcW w:w="2656" w:type="dxa"/>
            <w:tcBorders>
              <w:left w:val="double" w:sz="4" w:space="0" w:color="auto"/>
              <w:right w:val="nil"/>
            </w:tcBorders>
          </w:tcPr>
          <w:p w:rsidR="006120DF" w:rsidRPr="00B5156C" w:rsidRDefault="006120DF" w:rsidP="000A0429">
            <w:pPr>
              <w:jc w:val="center"/>
              <w:rPr>
                <w:rFonts w:ascii="Arial" w:hAnsi="Arial" w:cs="Arial"/>
                <w:b/>
                <w:color w:val="000000" w:themeColor="text1"/>
              </w:rPr>
            </w:pPr>
            <w:r>
              <w:rPr>
                <w:rFonts w:ascii="Arial" w:hAnsi="Arial"/>
                <w:b/>
                <w:color w:val="000000" w:themeColor="text1"/>
              </w:rPr>
              <w:t>1,247.02</w:t>
            </w:r>
          </w:p>
        </w:tc>
      </w:tr>
    </w:tbl>
    <w:p w:rsidR="006120DF" w:rsidRDefault="006120DF" w:rsidP="006120DF">
      <w:pPr>
        <w:widowControl/>
        <w:autoSpaceDE/>
        <w:spacing w:line="207" w:lineRule="atLeast"/>
        <w:ind w:right="112" w:firstLine="108"/>
        <w:jc w:val="left"/>
        <w:rPr>
          <w:rFonts w:ascii="Arial" w:eastAsia="Malgun Gothic" w:hAnsi="Arial" w:cs="Arial"/>
          <w:b/>
          <w:bCs/>
          <w:color w:val="000000" w:themeColor="text1"/>
          <w:sz w:val="22"/>
          <w:szCs w:val="22"/>
          <w:shd w:val="clear" w:color="auto" w:fill="FFFFFF"/>
        </w:rPr>
      </w:pPr>
    </w:p>
    <w:p w:rsidR="006120DF" w:rsidRPr="00950A55" w:rsidRDefault="006120DF" w:rsidP="006120DF">
      <w:pPr>
        <w:widowControl/>
        <w:autoSpaceDE/>
        <w:spacing w:line="207" w:lineRule="atLeast"/>
        <w:ind w:right="112" w:firstLine="108"/>
        <w:jc w:val="left"/>
        <w:rPr>
          <w:rFonts w:ascii="Malgun Gothic" w:eastAsia="Malgun Gothic" w:hAnsi="Malgun Gothic" w:cs="Gulim"/>
          <w:color w:val="000000" w:themeColor="text1"/>
          <w:sz w:val="24"/>
          <w:shd w:val="clear" w:color="auto" w:fill="FFFFFF" w:themeFill="background1"/>
        </w:rPr>
      </w:pPr>
      <w:r>
        <w:rPr>
          <w:rFonts w:ascii="Arial" w:hAnsi="Arial"/>
          <w:b/>
          <w:color w:val="000000" w:themeColor="text1"/>
          <w:sz w:val="24"/>
          <w:shd w:val="clear" w:color="auto" w:fill="FFFFFF" w:themeFill="background1"/>
        </w:rPr>
        <w:t>2016 Consolidated Financial Result</w:t>
      </w:r>
    </w:p>
    <w:tbl>
      <w:tblPr>
        <w:tblW w:w="0" w:type="auto"/>
        <w:tblInd w:w="2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0"/>
        <w:gridCol w:w="3090"/>
        <w:gridCol w:w="3090"/>
      </w:tblGrid>
      <w:tr w:rsidR="006120DF" w:rsidRPr="002B32A6" w:rsidTr="000A0429">
        <w:trPr>
          <w:trHeight w:val="362"/>
        </w:trPr>
        <w:tc>
          <w:tcPr>
            <w:tcW w:w="2550" w:type="dxa"/>
            <w:tcBorders>
              <w:top w:val="single" w:sz="6" w:space="0" w:color="auto"/>
              <w:left w:val="nil"/>
              <w:bottom w:val="double" w:sz="4" w:space="0" w:color="auto"/>
              <w:right w:val="double" w:sz="4" w:space="0" w:color="auto"/>
            </w:tcBorders>
            <w:shd w:val="clear" w:color="auto" w:fill="7F7F7F"/>
            <w:vAlign w:val="center"/>
            <w:hideMark/>
          </w:tcPr>
          <w:p w:rsidR="006120DF" w:rsidRPr="00B5156C" w:rsidRDefault="006120DF" w:rsidP="000A0429">
            <w:pPr>
              <w:widowControl/>
              <w:autoSpaceDE/>
              <w:ind w:right="112"/>
              <w:jc w:val="center"/>
              <w:rPr>
                <w:rFonts w:ascii="Arial" w:eastAsia="Gulim" w:hAnsi="Arial" w:cs="Arial"/>
              </w:rPr>
            </w:pPr>
            <w:r>
              <w:rPr>
                <w:rFonts w:ascii="Arial" w:hAnsi="Arial"/>
                <w:b/>
                <w:color w:val="FFFFFF"/>
              </w:rPr>
              <w:t>(Unit: Billion KRW)</w:t>
            </w:r>
          </w:p>
        </w:tc>
        <w:tc>
          <w:tcPr>
            <w:tcW w:w="3090" w:type="dxa"/>
            <w:tcBorders>
              <w:top w:val="single" w:sz="6" w:space="0" w:color="auto"/>
              <w:left w:val="nil"/>
              <w:bottom w:val="double" w:sz="4" w:space="0" w:color="auto"/>
              <w:right w:val="double" w:sz="4" w:space="0" w:color="auto"/>
            </w:tcBorders>
            <w:shd w:val="clear" w:color="auto" w:fill="7F7F7F"/>
            <w:vAlign w:val="center"/>
            <w:hideMark/>
          </w:tcPr>
          <w:p w:rsidR="006120DF" w:rsidRPr="00B5156C" w:rsidRDefault="006120DF" w:rsidP="000A0429">
            <w:pPr>
              <w:widowControl/>
              <w:autoSpaceDE/>
              <w:ind w:right="112"/>
              <w:jc w:val="center"/>
              <w:rPr>
                <w:rFonts w:ascii="Arial" w:eastAsia="Gulim" w:hAnsi="Arial" w:cs="Arial"/>
              </w:rPr>
            </w:pPr>
            <w:r>
              <w:rPr>
                <w:rFonts w:ascii="Arial" w:hAnsi="Arial"/>
                <w:b/>
                <w:color w:val="FFFFFF"/>
              </w:rPr>
              <w:t>FY 2015</w:t>
            </w:r>
          </w:p>
        </w:tc>
        <w:tc>
          <w:tcPr>
            <w:tcW w:w="3090" w:type="dxa"/>
            <w:tcBorders>
              <w:top w:val="single" w:sz="6" w:space="0" w:color="auto"/>
              <w:left w:val="nil"/>
              <w:bottom w:val="double" w:sz="4" w:space="0" w:color="auto"/>
              <w:right w:val="nil"/>
            </w:tcBorders>
            <w:shd w:val="clear" w:color="auto" w:fill="7F7F7F"/>
            <w:vAlign w:val="center"/>
            <w:hideMark/>
          </w:tcPr>
          <w:p w:rsidR="006120DF" w:rsidRPr="00B5156C" w:rsidRDefault="006120DF" w:rsidP="000A0429">
            <w:pPr>
              <w:widowControl/>
              <w:autoSpaceDE/>
              <w:ind w:right="112"/>
              <w:jc w:val="center"/>
              <w:rPr>
                <w:rFonts w:ascii="Arial" w:eastAsia="Gulim" w:hAnsi="Arial" w:cs="Arial"/>
              </w:rPr>
            </w:pPr>
            <w:r>
              <w:rPr>
                <w:rFonts w:ascii="Arial" w:hAnsi="Arial"/>
                <w:b/>
                <w:color w:val="FFFFFF"/>
              </w:rPr>
              <w:t>FY 2016</w:t>
            </w:r>
          </w:p>
        </w:tc>
      </w:tr>
      <w:tr w:rsidR="006120DF" w:rsidRPr="002B32A6" w:rsidTr="000A0429">
        <w:trPr>
          <w:trHeight w:val="362"/>
        </w:trPr>
        <w:tc>
          <w:tcPr>
            <w:tcW w:w="2550" w:type="dxa"/>
            <w:tcBorders>
              <w:top w:val="nil"/>
              <w:left w:val="nil"/>
              <w:bottom w:val="single" w:sz="6" w:space="0" w:color="auto"/>
              <w:right w:val="double" w:sz="4" w:space="0" w:color="auto"/>
            </w:tcBorders>
            <w:shd w:val="clear" w:color="auto" w:fill="auto"/>
            <w:vAlign w:val="center"/>
            <w:hideMark/>
          </w:tcPr>
          <w:p w:rsidR="006120DF" w:rsidRPr="00B5156C" w:rsidRDefault="006120DF" w:rsidP="000A0429">
            <w:pPr>
              <w:widowControl/>
              <w:autoSpaceDE/>
              <w:ind w:right="112"/>
              <w:jc w:val="center"/>
              <w:rPr>
                <w:rFonts w:ascii="Arial" w:eastAsia="Gulim" w:hAnsi="Arial" w:cs="Arial"/>
              </w:rPr>
            </w:pPr>
            <w:r>
              <w:rPr>
                <w:rFonts w:ascii="Arial" w:hAnsi="Arial"/>
                <w:b/>
              </w:rPr>
              <w:t>Sales</w:t>
            </w:r>
          </w:p>
        </w:tc>
        <w:tc>
          <w:tcPr>
            <w:tcW w:w="3090" w:type="dxa"/>
            <w:tcBorders>
              <w:top w:val="nil"/>
              <w:left w:val="nil"/>
              <w:bottom w:val="single" w:sz="6" w:space="0" w:color="auto"/>
              <w:right w:val="double" w:sz="4" w:space="0" w:color="auto"/>
            </w:tcBorders>
            <w:shd w:val="clear" w:color="auto" w:fill="auto"/>
            <w:vAlign w:val="center"/>
            <w:hideMark/>
          </w:tcPr>
          <w:p w:rsidR="006120DF" w:rsidRPr="00B5156C" w:rsidRDefault="006120DF" w:rsidP="000A0429">
            <w:pPr>
              <w:widowControl/>
              <w:autoSpaceDE/>
              <w:ind w:right="160"/>
              <w:jc w:val="center"/>
              <w:rPr>
                <w:rFonts w:ascii="Arial" w:eastAsia="Gulim" w:hAnsi="Arial" w:cs="Arial"/>
                <w:color w:val="000000" w:themeColor="text1"/>
              </w:rPr>
            </w:pPr>
            <w:r>
              <w:rPr>
                <w:rFonts w:ascii="Arial" w:hAnsi="Arial"/>
                <w:b/>
                <w:color w:val="000000" w:themeColor="text1"/>
              </w:rPr>
              <w:t>6,428.2</w:t>
            </w:r>
          </w:p>
        </w:tc>
        <w:tc>
          <w:tcPr>
            <w:tcW w:w="3090" w:type="dxa"/>
            <w:tcBorders>
              <w:top w:val="nil"/>
              <w:left w:val="nil"/>
              <w:bottom w:val="single" w:sz="6" w:space="0" w:color="auto"/>
              <w:right w:val="nil"/>
            </w:tcBorders>
            <w:shd w:val="clear" w:color="auto" w:fill="auto"/>
            <w:vAlign w:val="center"/>
            <w:hideMark/>
          </w:tcPr>
          <w:p w:rsidR="006120DF" w:rsidRPr="00B5156C" w:rsidRDefault="006120DF" w:rsidP="000A0429">
            <w:pPr>
              <w:widowControl/>
              <w:autoSpaceDE/>
              <w:ind w:right="160"/>
              <w:jc w:val="center"/>
              <w:rPr>
                <w:rFonts w:ascii="Arial" w:eastAsia="Gulim" w:hAnsi="Arial" w:cs="Arial"/>
                <w:color w:val="000000" w:themeColor="text1"/>
              </w:rPr>
            </w:pPr>
            <w:r>
              <w:rPr>
                <w:rFonts w:ascii="Arial" w:hAnsi="Arial"/>
                <w:b/>
                <w:color w:val="000000" w:themeColor="text1"/>
              </w:rPr>
              <w:t>6,626.1</w:t>
            </w:r>
          </w:p>
        </w:tc>
      </w:tr>
      <w:tr w:rsidR="006120DF" w:rsidRPr="002B32A6" w:rsidTr="000A0429">
        <w:trPr>
          <w:trHeight w:val="362"/>
        </w:trPr>
        <w:tc>
          <w:tcPr>
            <w:tcW w:w="2550" w:type="dxa"/>
            <w:tcBorders>
              <w:top w:val="nil"/>
              <w:left w:val="nil"/>
              <w:bottom w:val="single" w:sz="6" w:space="0" w:color="auto"/>
              <w:right w:val="double" w:sz="4" w:space="0" w:color="auto"/>
            </w:tcBorders>
            <w:shd w:val="clear" w:color="auto" w:fill="auto"/>
            <w:vAlign w:val="center"/>
            <w:hideMark/>
          </w:tcPr>
          <w:p w:rsidR="006120DF" w:rsidRPr="00B5156C" w:rsidRDefault="006120DF" w:rsidP="000A0429">
            <w:pPr>
              <w:widowControl/>
              <w:autoSpaceDE/>
              <w:ind w:right="112"/>
              <w:jc w:val="center"/>
              <w:rPr>
                <w:rFonts w:ascii="Arial" w:eastAsia="Gulim" w:hAnsi="Arial" w:cs="Arial"/>
              </w:rPr>
            </w:pPr>
            <w:r>
              <w:rPr>
                <w:rFonts w:ascii="Arial" w:hAnsi="Arial"/>
                <w:b/>
              </w:rPr>
              <w:t>Operating Profit</w:t>
            </w:r>
          </w:p>
        </w:tc>
        <w:tc>
          <w:tcPr>
            <w:tcW w:w="3090" w:type="dxa"/>
            <w:tcBorders>
              <w:top w:val="nil"/>
              <w:left w:val="nil"/>
              <w:bottom w:val="single" w:sz="6" w:space="0" w:color="auto"/>
              <w:right w:val="double" w:sz="4" w:space="0" w:color="auto"/>
            </w:tcBorders>
            <w:shd w:val="clear" w:color="auto" w:fill="auto"/>
            <w:vAlign w:val="center"/>
            <w:hideMark/>
          </w:tcPr>
          <w:p w:rsidR="006120DF" w:rsidRPr="00B5156C" w:rsidRDefault="006120DF" w:rsidP="000A0429">
            <w:pPr>
              <w:widowControl/>
              <w:autoSpaceDE/>
              <w:ind w:right="160"/>
              <w:jc w:val="center"/>
              <w:rPr>
                <w:rFonts w:ascii="Arial" w:eastAsia="Gulim" w:hAnsi="Arial" w:cs="Arial"/>
                <w:color w:val="000000" w:themeColor="text1"/>
              </w:rPr>
            </w:pPr>
            <w:r>
              <w:rPr>
                <w:rFonts w:ascii="Arial" w:hAnsi="Arial"/>
                <w:b/>
                <w:color w:val="000000" w:themeColor="text1"/>
              </w:rPr>
              <w:t>885.0</w:t>
            </w:r>
          </w:p>
        </w:tc>
        <w:tc>
          <w:tcPr>
            <w:tcW w:w="3090" w:type="dxa"/>
            <w:tcBorders>
              <w:top w:val="nil"/>
              <w:left w:val="nil"/>
              <w:bottom w:val="single" w:sz="6" w:space="0" w:color="auto"/>
              <w:right w:val="nil"/>
            </w:tcBorders>
            <w:shd w:val="clear" w:color="auto" w:fill="auto"/>
            <w:vAlign w:val="center"/>
            <w:hideMark/>
          </w:tcPr>
          <w:p w:rsidR="006120DF" w:rsidRPr="00B5156C" w:rsidRDefault="006120DF" w:rsidP="000A0429">
            <w:pPr>
              <w:widowControl/>
              <w:autoSpaceDE/>
              <w:ind w:right="160"/>
              <w:jc w:val="center"/>
              <w:rPr>
                <w:rFonts w:ascii="Arial" w:eastAsia="Gulim" w:hAnsi="Arial" w:cs="Arial"/>
                <w:color w:val="000000" w:themeColor="text1"/>
              </w:rPr>
            </w:pPr>
            <w:r>
              <w:rPr>
                <w:rFonts w:ascii="Arial" w:hAnsi="Arial"/>
                <w:b/>
                <w:color w:val="000000" w:themeColor="text1"/>
              </w:rPr>
              <w:t>1,103.8</w:t>
            </w:r>
          </w:p>
        </w:tc>
      </w:tr>
    </w:tbl>
    <w:p w:rsidR="006120DF" w:rsidRPr="002B32A6" w:rsidRDefault="006120DF" w:rsidP="006120DF">
      <w:pPr>
        <w:widowControl/>
        <w:autoSpaceDE/>
        <w:jc w:val="left"/>
        <w:rPr>
          <w:rFonts w:ascii="Gulim" w:eastAsia="Gulim" w:hAnsi="Gulim" w:cs="Gulim"/>
          <w:sz w:val="24"/>
        </w:rPr>
      </w:pPr>
      <w:r>
        <w:rPr>
          <w:rFonts w:ascii="Arial" w:hAnsi="Arial"/>
          <w:color w:val="500050"/>
          <w:sz w:val="22"/>
          <w:shd w:val="clear" w:color="auto" w:fill="FFFFFF"/>
        </w:rPr>
        <w:t> </w:t>
      </w:r>
    </w:p>
    <w:tbl>
      <w:tblPr>
        <w:tblW w:w="0" w:type="auto"/>
        <w:tblInd w:w="2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50"/>
        <w:gridCol w:w="3120"/>
        <w:gridCol w:w="3120"/>
      </w:tblGrid>
      <w:tr w:rsidR="006120DF" w:rsidRPr="002B32A6" w:rsidTr="000A0429">
        <w:trPr>
          <w:trHeight w:val="363"/>
        </w:trPr>
        <w:tc>
          <w:tcPr>
            <w:tcW w:w="2550" w:type="dxa"/>
            <w:tcBorders>
              <w:top w:val="single" w:sz="6" w:space="0" w:color="auto"/>
              <w:left w:val="nil"/>
              <w:bottom w:val="double" w:sz="4" w:space="0" w:color="auto"/>
              <w:right w:val="double" w:sz="4" w:space="0" w:color="auto"/>
            </w:tcBorders>
            <w:shd w:val="clear" w:color="auto" w:fill="7F7F7F"/>
            <w:vAlign w:val="center"/>
            <w:hideMark/>
          </w:tcPr>
          <w:p w:rsidR="006120DF" w:rsidRPr="002B32A6" w:rsidRDefault="006120DF" w:rsidP="000A0429">
            <w:pPr>
              <w:widowControl/>
              <w:autoSpaceDE/>
              <w:ind w:right="112"/>
              <w:jc w:val="center"/>
              <w:rPr>
                <w:rFonts w:ascii="Arial" w:eastAsia="Malgun Gothic" w:hAnsi="Arial" w:cs="Arial"/>
                <w:color w:val="222222"/>
                <w:sz w:val="18"/>
                <w:szCs w:val="18"/>
              </w:rPr>
            </w:pPr>
            <w:r>
              <w:rPr>
                <w:rFonts w:ascii="Arial" w:hAnsi="Arial"/>
                <w:b/>
                <w:color w:val="FFFFFF"/>
                <w:sz w:val="22"/>
              </w:rPr>
              <w:t>(Unit: Million USD)</w:t>
            </w:r>
          </w:p>
        </w:tc>
        <w:tc>
          <w:tcPr>
            <w:tcW w:w="3120" w:type="dxa"/>
            <w:tcBorders>
              <w:top w:val="single" w:sz="6" w:space="0" w:color="auto"/>
              <w:left w:val="nil"/>
              <w:bottom w:val="double" w:sz="4" w:space="0" w:color="auto"/>
              <w:right w:val="double" w:sz="4" w:space="0" w:color="auto"/>
            </w:tcBorders>
            <w:shd w:val="clear" w:color="auto" w:fill="7F7F7F"/>
            <w:vAlign w:val="center"/>
            <w:hideMark/>
          </w:tcPr>
          <w:p w:rsidR="006120DF" w:rsidRPr="002B32A6" w:rsidRDefault="006120DF" w:rsidP="000A0429">
            <w:pPr>
              <w:widowControl/>
              <w:autoSpaceDE/>
              <w:ind w:right="112"/>
              <w:jc w:val="center"/>
              <w:rPr>
                <w:rFonts w:ascii="Arial" w:eastAsia="Malgun Gothic" w:hAnsi="Arial" w:cs="Arial"/>
                <w:color w:val="222222"/>
                <w:sz w:val="18"/>
                <w:szCs w:val="18"/>
              </w:rPr>
            </w:pPr>
            <w:r>
              <w:rPr>
                <w:rFonts w:ascii="Arial" w:hAnsi="Arial"/>
                <w:b/>
                <w:color w:val="FFFFFF"/>
                <w:sz w:val="22"/>
              </w:rPr>
              <w:t>FY 2015</w:t>
            </w:r>
          </w:p>
        </w:tc>
        <w:tc>
          <w:tcPr>
            <w:tcW w:w="3120" w:type="dxa"/>
            <w:tcBorders>
              <w:top w:val="single" w:sz="6" w:space="0" w:color="auto"/>
              <w:left w:val="nil"/>
              <w:bottom w:val="double" w:sz="4" w:space="0" w:color="auto"/>
              <w:right w:val="nil"/>
            </w:tcBorders>
            <w:shd w:val="clear" w:color="auto" w:fill="7F7F7F"/>
            <w:vAlign w:val="center"/>
            <w:hideMark/>
          </w:tcPr>
          <w:p w:rsidR="006120DF" w:rsidRPr="002B32A6" w:rsidRDefault="006120DF" w:rsidP="000A0429">
            <w:pPr>
              <w:widowControl/>
              <w:autoSpaceDE/>
              <w:ind w:right="112"/>
              <w:jc w:val="center"/>
              <w:rPr>
                <w:rFonts w:ascii="Arial" w:eastAsia="Malgun Gothic" w:hAnsi="Arial" w:cs="Arial"/>
                <w:color w:val="222222"/>
                <w:sz w:val="18"/>
                <w:szCs w:val="18"/>
              </w:rPr>
            </w:pPr>
            <w:r>
              <w:rPr>
                <w:rFonts w:ascii="Arial" w:hAnsi="Arial"/>
                <w:b/>
                <w:color w:val="FFFFFF"/>
                <w:sz w:val="22"/>
              </w:rPr>
              <w:t>FY 2016</w:t>
            </w:r>
          </w:p>
        </w:tc>
      </w:tr>
      <w:tr w:rsidR="006120DF" w:rsidRPr="002B32A6" w:rsidTr="000A0429">
        <w:trPr>
          <w:trHeight w:val="363"/>
        </w:trPr>
        <w:tc>
          <w:tcPr>
            <w:tcW w:w="2550" w:type="dxa"/>
            <w:tcBorders>
              <w:top w:val="nil"/>
              <w:left w:val="nil"/>
              <w:bottom w:val="single" w:sz="6" w:space="0" w:color="auto"/>
              <w:right w:val="double" w:sz="4" w:space="0" w:color="auto"/>
            </w:tcBorders>
            <w:shd w:val="clear" w:color="auto" w:fill="auto"/>
            <w:vAlign w:val="center"/>
            <w:hideMark/>
          </w:tcPr>
          <w:p w:rsidR="006120DF" w:rsidRPr="00B5156C" w:rsidRDefault="006120DF" w:rsidP="000A0429">
            <w:pPr>
              <w:widowControl/>
              <w:autoSpaceDE/>
              <w:ind w:right="112"/>
              <w:jc w:val="center"/>
              <w:rPr>
                <w:rFonts w:ascii="Arial" w:eastAsia="Malgun Gothic" w:hAnsi="Arial" w:cs="Arial"/>
                <w:color w:val="222222"/>
                <w:szCs w:val="18"/>
              </w:rPr>
            </w:pPr>
            <w:r>
              <w:rPr>
                <w:rFonts w:ascii="Arial" w:hAnsi="Arial"/>
                <w:b/>
                <w:color w:val="222222"/>
              </w:rPr>
              <w:t>Sales</w:t>
            </w:r>
          </w:p>
        </w:tc>
        <w:tc>
          <w:tcPr>
            <w:tcW w:w="3120" w:type="dxa"/>
            <w:tcBorders>
              <w:top w:val="nil"/>
              <w:left w:val="nil"/>
              <w:bottom w:val="single" w:sz="6" w:space="0" w:color="auto"/>
              <w:right w:val="double" w:sz="4" w:space="0" w:color="auto"/>
            </w:tcBorders>
            <w:shd w:val="clear" w:color="auto" w:fill="auto"/>
            <w:hideMark/>
          </w:tcPr>
          <w:p w:rsidR="006120DF" w:rsidRPr="00B5156C" w:rsidRDefault="006120DF" w:rsidP="000A0429">
            <w:pPr>
              <w:widowControl/>
              <w:autoSpaceDE/>
              <w:jc w:val="center"/>
              <w:rPr>
                <w:rFonts w:ascii="Arial" w:eastAsia="Malgun Gothic" w:hAnsi="Arial" w:cs="Arial"/>
                <w:color w:val="000000" w:themeColor="text1"/>
                <w:szCs w:val="18"/>
              </w:rPr>
            </w:pPr>
            <w:r>
              <w:rPr>
                <w:rFonts w:ascii="Arial" w:hAnsi="Arial"/>
                <w:b/>
                <w:color w:val="000000" w:themeColor="text1"/>
              </w:rPr>
              <w:t>5,681.1</w:t>
            </w:r>
          </w:p>
        </w:tc>
        <w:tc>
          <w:tcPr>
            <w:tcW w:w="3120" w:type="dxa"/>
            <w:tcBorders>
              <w:top w:val="nil"/>
              <w:left w:val="nil"/>
              <w:bottom w:val="single" w:sz="6" w:space="0" w:color="auto"/>
              <w:right w:val="nil"/>
            </w:tcBorders>
            <w:shd w:val="clear" w:color="auto" w:fill="auto"/>
            <w:hideMark/>
          </w:tcPr>
          <w:p w:rsidR="006120DF" w:rsidRPr="00B5156C" w:rsidRDefault="006120DF" w:rsidP="000A0429">
            <w:pPr>
              <w:widowControl/>
              <w:autoSpaceDE/>
              <w:jc w:val="center"/>
              <w:rPr>
                <w:rFonts w:ascii="Arial" w:eastAsia="Malgun Gothic" w:hAnsi="Arial" w:cs="Arial"/>
                <w:color w:val="000000" w:themeColor="text1"/>
                <w:szCs w:val="18"/>
              </w:rPr>
            </w:pPr>
            <w:r>
              <w:rPr>
                <w:rFonts w:ascii="Arial" w:hAnsi="Arial"/>
                <w:b/>
                <w:color w:val="000000" w:themeColor="text1"/>
              </w:rPr>
              <w:t>5,709.6</w:t>
            </w:r>
          </w:p>
        </w:tc>
      </w:tr>
      <w:tr w:rsidR="006120DF" w:rsidRPr="002B32A6" w:rsidTr="000A0429">
        <w:trPr>
          <w:trHeight w:val="363"/>
        </w:trPr>
        <w:tc>
          <w:tcPr>
            <w:tcW w:w="2550" w:type="dxa"/>
            <w:tcBorders>
              <w:top w:val="nil"/>
              <w:left w:val="nil"/>
              <w:bottom w:val="single" w:sz="6" w:space="0" w:color="auto"/>
              <w:right w:val="double" w:sz="4" w:space="0" w:color="auto"/>
            </w:tcBorders>
            <w:shd w:val="clear" w:color="auto" w:fill="auto"/>
            <w:vAlign w:val="center"/>
            <w:hideMark/>
          </w:tcPr>
          <w:p w:rsidR="006120DF" w:rsidRPr="00B5156C" w:rsidRDefault="006120DF" w:rsidP="000A0429">
            <w:pPr>
              <w:widowControl/>
              <w:autoSpaceDE/>
              <w:ind w:right="112"/>
              <w:jc w:val="center"/>
              <w:rPr>
                <w:rFonts w:ascii="Arial" w:eastAsia="Malgun Gothic" w:hAnsi="Arial" w:cs="Arial"/>
                <w:color w:val="222222"/>
                <w:szCs w:val="18"/>
              </w:rPr>
            </w:pPr>
            <w:r>
              <w:rPr>
                <w:rFonts w:ascii="Arial" w:hAnsi="Arial"/>
                <w:b/>
                <w:color w:val="222222"/>
              </w:rPr>
              <w:t>Operating Profit</w:t>
            </w:r>
          </w:p>
        </w:tc>
        <w:tc>
          <w:tcPr>
            <w:tcW w:w="3120" w:type="dxa"/>
            <w:tcBorders>
              <w:top w:val="nil"/>
              <w:left w:val="nil"/>
              <w:bottom w:val="single" w:sz="6" w:space="0" w:color="auto"/>
              <w:right w:val="double" w:sz="4" w:space="0" w:color="auto"/>
            </w:tcBorders>
            <w:shd w:val="clear" w:color="auto" w:fill="auto"/>
            <w:hideMark/>
          </w:tcPr>
          <w:p w:rsidR="006120DF" w:rsidRPr="00B5156C" w:rsidRDefault="006120DF" w:rsidP="000A0429">
            <w:pPr>
              <w:widowControl/>
              <w:autoSpaceDE/>
              <w:jc w:val="center"/>
              <w:rPr>
                <w:rFonts w:ascii="Arial" w:eastAsia="Malgun Gothic" w:hAnsi="Arial" w:cs="Arial"/>
                <w:color w:val="000000" w:themeColor="text1"/>
                <w:szCs w:val="18"/>
              </w:rPr>
            </w:pPr>
            <w:r>
              <w:rPr>
                <w:rFonts w:ascii="Arial" w:hAnsi="Arial"/>
                <w:b/>
                <w:color w:val="000000" w:themeColor="text1"/>
              </w:rPr>
              <w:t>782.1.</w:t>
            </w:r>
          </w:p>
        </w:tc>
        <w:tc>
          <w:tcPr>
            <w:tcW w:w="3120" w:type="dxa"/>
            <w:tcBorders>
              <w:top w:val="nil"/>
              <w:left w:val="nil"/>
              <w:bottom w:val="single" w:sz="6" w:space="0" w:color="auto"/>
              <w:right w:val="nil"/>
            </w:tcBorders>
            <w:shd w:val="clear" w:color="auto" w:fill="auto"/>
            <w:hideMark/>
          </w:tcPr>
          <w:p w:rsidR="006120DF" w:rsidRPr="00B5156C" w:rsidRDefault="006120DF" w:rsidP="000A0429">
            <w:pPr>
              <w:widowControl/>
              <w:autoSpaceDE/>
              <w:jc w:val="center"/>
              <w:rPr>
                <w:rFonts w:ascii="Arial" w:eastAsia="Malgun Gothic" w:hAnsi="Arial" w:cs="Arial"/>
                <w:color w:val="000000" w:themeColor="text1"/>
                <w:szCs w:val="18"/>
              </w:rPr>
            </w:pPr>
            <w:r>
              <w:rPr>
                <w:rFonts w:ascii="Arial" w:hAnsi="Arial"/>
                <w:b/>
                <w:color w:val="000000" w:themeColor="text1"/>
              </w:rPr>
              <w:t>951.1</w:t>
            </w:r>
          </w:p>
        </w:tc>
      </w:tr>
    </w:tbl>
    <w:p w:rsidR="006120DF" w:rsidRPr="002B32A6" w:rsidRDefault="006120DF" w:rsidP="006120DF">
      <w:pPr>
        <w:widowControl/>
        <w:autoSpaceDE/>
        <w:spacing w:line="207" w:lineRule="atLeast"/>
        <w:ind w:left="142" w:right="112"/>
        <w:jc w:val="left"/>
        <w:rPr>
          <w:rFonts w:ascii="Malgun Gothic" w:eastAsia="Malgun Gothic" w:hAnsi="Malgun Gothic" w:cs="Gulim"/>
          <w:color w:val="500050"/>
          <w:sz w:val="18"/>
          <w:szCs w:val="18"/>
          <w:shd w:val="clear" w:color="auto" w:fill="FFFFFF"/>
        </w:rPr>
      </w:pPr>
      <w:r>
        <w:rPr>
          <w:rFonts w:ascii="Arial" w:hAnsi="Arial"/>
          <w:color w:val="500050"/>
          <w:sz w:val="22"/>
          <w:shd w:val="clear" w:color="auto" w:fill="FFFFFF"/>
        </w:rPr>
        <w:t> </w:t>
      </w:r>
    </w:p>
    <w:tbl>
      <w:tblPr>
        <w:tblW w:w="0" w:type="auto"/>
        <w:tblInd w:w="2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0"/>
        <w:gridCol w:w="3120"/>
        <w:gridCol w:w="3120"/>
      </w:tblGrid>
      <w:tr w:rsidR="006120DF" w:rsidRPr="002B32A6" w:rsidTr="000A0429">
        <w:trPr>
          <w:trHeight w:val="363"/>
        </w:trPr>
        <w:tc>
          <w:tcPr>
            <w:tcW w:w="2550" w:type="dxa"/>
            <w:tcBorders>
              <w:top w:val="single" w:sz="6" w:space="0" w:color="auto"/>
              <w:left w:val="nil"/>
              <w:bottom w:val="double" w:sz="4" w:space="0" w:color="auto"/>
              <w:right w:val="double" w:sz="4" w:space="0" w:color="auto"/>
            </w:tcBorders>
            <w:shd w:val="clear" w:color="auto" w:fill="7F7F7F"/>
            <w:vAlign w:val="center"/>
            <w:hideMark/>
          </w:tcPr>
          <w:p w:rsidR="006120DF" w:rsidRPr="00B5156C" w:rsidRDefault="006120DF" w:rsidP="000A0429">
            <w:pPr>
              <w:widowControl/>
              <w:autoSpaceDE/>
              <w:ind w:right="112"/>
              <w:jc w:val="center"/>
              <w:rPr>
                <w:rFonts w:ascii="Arial" w:eastAsia="Gulim" w:hAnsi="Arial" w:cs="Arial"/>
              </w:rPr>
            </w:pPr>
            <w:r>
              <w:rPr>
                <w:rFonts w:ascii="Arial" w:hAnsi="Arial"/>
                <w:b/>
                <w:color w:val="FFFFFF"/>
              </w:rPr>
              <w:t>(Unit: Million EUR)</w:t>
            </w:r>
          </w:p>
        </w:tc>
        <w:tc>
          <w:tcPr>
            <w:tcW w:w="3120" w:type="dxa"/>
            <w:tcBorders>
              <w:top w:val="single" w:sz="6" w:space="0" w:color="auto"/>
              <w:left w:val="nil"/>
              <w:bottom w:val="double" w:sz="4" w:space="0" w:color="auto"/>
              <w:right w:val="double" w:sz="4" w:space="0" w:color="auto"/>
            </w:tcBorders>
            <w:shd w:val="clear" w:color="auto" w:fill="7F7F7F"/>
            <w:vAlign w:val="center"/>
            <w:hideMark/>
          </w:tcPr>
          <w:p w:rsidR="006120DF" w:rsidRPr="00B5156C" w:rsidRDefault="006120DF" w:rsidP="000A0429">
            <w:pPr>
              <w:widowControl/>
              <w:autoSpaceDE/>
              <w:ind w:right="112"/>
              <w:jc w:val="center"/>
              <w:rPr>
                <w:rFonts w:ascii="Arial" w:eastAsia="Gulim" w:hAnsi="Arial" w:cs="Arial"/>
              </w:rPr>
            </w:pPr>
            <w:r>
              <w:rPr>
                <w:rFonts w:ascii="Arial" w:hAnsi="Arial"/>
                <w:b/>
                <w:color w:val="FFFFFF"/>
              </w:rPr>
              <w:t>FY 2015</w:t>
            </w:r>
          </w:p>
        </w:tc>
        <w:tc>
          <w:tcPr>
            <w:tcW w:w="3120" w:type="dxa"/>
            <w:tcBorders>
              <w:top w:val="single" w:sz="6" w:space="0" w:color="auto"/>
              <w:left w:val="nil"/>
              <w:bottom w:val="double" w:sz="4" w:space="0" w:color="auto"/>
              <w:right w:val="nil"/>
            </w:tcBorders>
            <w:shd w:val="clear" w:color="auto" w:fill="7F7F7F"/>
            <w:vAlign w:val="center"/>
            <w:hideMark/>
          </w:tcPr>
          <w:p w:rsidR="006120DF" w:rsidRPr="00B5156C" w:rsidRDefault="006120DF" w:rsidP="000A0429">
            <w:pPr>
              <w:widowControl/>
              <w:autoSpaceDE/>
              <w:ind w:right="112"/>
              <w:jc w:val="center"/>
              <w:rPr>
                <w:rFonts w:ascii="Arial" w:eastAsia="Gulim" w:hAnsi="Arial" w:cs="Arial"/>
              </w:rPr>
            </w:pPr>
            <w:r>
              <w:rPr>
                <w:rFonts w:ascii="Arial" w:hAnsi="Arial"/>
                <w:b/>
                <w:color w:val="FFFFFF"/>
              </w:rPr>
              <w:t>FY 2016</w:t>
            </w:r>
          </w:p>
        </w:tc>
      </w:tr>
      <w:tr w:rsidR="006120DF" w:rsidRPr="002B32A6" w:rsidTr="000A0429">
        <w:trPr>
          <w:trHeight w:val="363"/>
        </w:trPr>
        <w:tc>
          <w:tcPr>
            <w:tcW w:w="2550" w:type="dxa"/>
            <w:tcBorders>
              <w:top w:val="nil"/>
              <w:left w:val="nil"/>
              <w:bottom w:val="single" w:sz="6" w:space="0" w:color="auto"/>
              <w:right w:val="double" w:sz="4" w:space="0" w:color="auto"/>
            </w:tcBorders>
            <w:shd w:val="clear" w:color="auto" w:fill="auto"/>
            <w:vAlign w:val="center"/>
            <w:hideMark/>
          </w:tcPr>
          <w:p w:rsidR="006120DF" w:rsidRPr="00B5156C" w:rsidRDefault="006120DF" w:rsidP="000A0429">
            <w:pPr>
              <w:widowControl/>
              <w:autoSpaceDE/>
              <w:ind w:right="112"/>
              <w:jc w:val="center"/>
              <w:rPr>
                <w:rFonts w:ascii="Arial" w:eastAsia="Gulim" w:hAnsi="Arial" w:cs="Arial"/>
              </w:rPr>
            </w:pPr>
            <w:r>
              <w:rPr>
                <w:rFonts w:ascii="Arial" w:hAnsi="Arial"/>
                <w:b/>
              </w:rPr>
              <w:t>Sales</w:t>
            </w:r>
          </w:p>
        </w:tc>
        <w:tc>
          <w:tcPr>
            <w:tcW w:w="3120" w:type="dxa"/>
            <w:tcBorders>
              <w:top w:val="nil"/>
              <w:left w:val="nil"/>
              <w:bottom w:val="single" w:sz="6" w:space="0" w:color="auto"/>
              <w:right w:val="double" w:sz="4" w:space="0" w:color="auto"/>
            </w:tcBorders>
            <w:shd w:val="clear" w:color="auto" w:fill="auto"/>
            <w:vAlign w:val="center"/>
            <w:hideMark/>
          </w:tcPr>
          <w:p w:rsidR="006120DF" w:rsidRPr="00B5156C" w:rsidRDefault="006120DF" w:rsidP="000A0429">
            <w:pPr>
              <w:widowControl/>
              <w:autoSpaceDE/>
              <w:jc w:val="center"/>
              <w:rPr>
                <w:rFonts w:ascii="Arial" w:eastAsia="Gulim" w:hAnsi="Arial" w:cs="Arial"/>
                <w:color w:val="000000" w:themeColor="text1"/>
              </w:rPr>
            </w:pPr>
            <w:r>
              <w:rPr>
                <w:rFonts w:ascii="Arial" w:hAnsi="Arial"/>
                <w:b/>
                <w:color w:val="000000" w:themeColor="text1"/>
              </w:rPr>
              <w:t>5,121.4</w:t>
            </w:r>
          </w:p>
        </w:tc>
        <w:tc>
          <w:tcPr>
            <w:tcW w:w="3120" w:type="dxa"/>
            <w:tcBorders>
              <w:top w:val="nil"/>
              <w:left w:val="nil"/>
              <w:bottom w:val="single" w:sz="6" w:space="0" w:color="auto"/>
              <w:right w:val="nil"/>
            </w:tcBorders>
            <w:shd w:val="clear" w:color="auto" w:fill="auto"/>
            <w:vAlign w:val="center"/>
            <w:hideMark/>
          </w:tcPr>
          <w:p w:rsidR="006120DF" w:rsidRPr="00B5156C" w:rsidRDefault="006120DF" w:rsidP="000A0429">
            <w:pPr>
              <w:widowControl/>
              <w:autoSpaceDE/>
              <w:jc w:val="center"/>
              <w:rPr>
                <w:rFonts w:ascii="Arial" w:eastAsia="Gulim" w:hAnsi="Arial" w:cs="Arial"/>
                <w:color w:val="000000" w:themeColor="text1"/>
              </w:rPr>
            </w:pPr>
            <w:r>
              <w:rPr>
                <w:rFonts w:ascii="Arial" w:hAnsi="Arial"/>
                <w:b/>
                <w:color w:val="000000" w:themeColor="text1"/>
              </w:rPr>
              <w:t>5,163.3</w:t>
            </w:r>
          </w:p>
        </w:tc>
      </w:tr>
      <w:tr w:rsidR="006120DF" w:rsidRPr="002B32A6" w:rsidTr="000A0429">
        <w:trPr>
          <w:trHeight w:val="363"/>
        </w:trPr>
        <w:tc>
          <w:tcPr>
            <w:tcW w:w="2550" w:type="dxa"/>
            <w:tcBorders>
              <w:top w:val="nil"/>
              <w:left w:val="nil"/>
              <w:bottom w:val="single" w:sz="6" w:space="0" w:color="auto"/>
              <w:right w:val="double" w:sz="4" w:space="0" w:color="auto"/>
            </w:tcBorders>
            <w:shd w:val="clear" w:color="auto" w:fill="auto"/>
            <w:vAlign w:val="center"/>
            <w:hideMark/>
          </w:tcPr>
          <w:p w:rsidR="006120DF" w:rsidRPr="00B5156C" w:rsidRDefault="006120DF" w:rsidP="000A0429">
            <w:pPr>
              <w:widowControl/>
              <w:autoSpaceDE/>
              <w:ind w:right="112"/>
              <w:jc w:val="center"/>
              <w:rPr>
                <w:rFonts w:ascii="Arial" w:eastAsia="Gulim" w:hAnsi="Arial" w:cs="Arial"/>
              </w:rPr>
            </w:pPr>
            <w:r>
              <w:rPr>
                <w:rFonts w:ascii="Arial" w:hAnsi="Arial"/>
                <w:b/>
              </w:rPr>
              <w:t>Operating Profit</w:t>
            </w:r>
          </w:p>
        </w:tc>
        <w:tc>
          <w:tcPr>
            <w:tcW w:w="3120" w:type="dxa"/>
            <w:tcBorders>
              <w:top w:val="nil"/>
              <w:left w:val="nil"/>
              <w:bottom w:val="single" w:sz="6" w:space="0" w:color="auto"/>
              <w:right w:val="double" w:sz="4" w:space="0" w:color="auto"/>
            </w:tcBorders>
            <w:shd w:val="clear" w:color="auto" w:fill="auto"/>
            <w:vAlign w:val="center"/>
            <w:hideMark/>
          </w:tcPr>
          <w:p w:rsidR="006120DF" w:rsidRPr="00B5156C" w:rsidRDefault="006120DF" w:rsidP="000A0429">
            <w:pPr>
              <w:widowControl/>
              <w:autoSpaceDE/>
              <w:jc w:val="center"/>
              <w:rPr>
                <w:rFonts w:ascii="Arial" w:eastAsia="Gulim" w:hAnsi="Arial" w:cs="Arial"/>
                <w:color w:val="000000" w:themeColor="text1"/>
              </w:rPr>
            </w:pPr>
            <w:r>
              <w:rPr>
                <w:rFonts w:ascii="Arial" w:hAnsi="Arial"/>
                <w:b/>
                <w:color w:val="000000" w:themeColor="text1"/>
              </w:rPr>
              <w:t>705.0</w:t>
            </w:r>
          </w:p>
        </w:tc>
        <w:tc>
          <w:tcPr>
            <w:tcW w:w="3120" w:type="dxa"/>
            <w:tcBorders>
              <w:top w:val="nil"/>
              <w:left w:val="nil"/>
              <w:bottom w:val="single" w:sz="6" w:space="0" w:color="auto"/>
              <w:right w:val="nil"/>
            </w:tcBorders>
            <w:shd w:val="clear" w:color="auto" w:fill="auto"/>
            <w:vAlign w:val="center"/>
            <w:hideMark/>
          </w:tcPr>
          <w:p w:rsidR="006120DF" w:rsidRPr="00B5156C" w:rsidRDefault="006120DF" w:rsidP="000A0429">
            <w:pPr>
              <w:widowControl/>
              <w:autoSpaceDE/>
              <w:jc w:val="center"/>
              <w:rPr>
                <w:rFonts w:ascii="Arial" w:eastAsia="Gulim" w:hAnsi="Arial" w:cs="Arial"/>
                <w:color w:val="000000" w:themeColor="text1"/>
              </w:rPr>
            </w:pPr>
            <w:r>
              <w:rPr>
                <w:rFonts w:ascii="Arial" w:hAnsi="Arial"/>
                <w:b/>
                <w:color w:val="000000" w:themeColor="text1"/>
              </w:rPr>
              <w:t>860.1</w:t>
            </w:r>
          </w:p>
        </w:tc>
      </w:tr>
    </w:tbl>
    <w:p w:rsidR="006120DF" w:rsidRPr="002B32A6" w:rsidRDefault="006120DF" w:rsidP="006120DF">
      <w:pPr>
        <w:widowControl/>
        <w:autoSpaceDE/>
        <w:spacing w:line="207" w:lineRule="atLeast"/>
        <w:ind w:left="142" w:right="112"/>
        <w:jc w:val="left"/>
        <w:rPr>
          <w:rFonts w:ascii="Gulim" w:eastAsia="Gulim" w:hAnsi="Gulim" w:cs="Gulim"/>
          <w:sz w:val="24"/>
        </w:rPr>
      </w:pPr>
      <w:r>
        <w:rPr>
          <w:rFonts w:ascii="Arial" w:hAnsi="Arial"/>
          <w:color w:val="500050"/>
          <w:sz w:val="22"/>
          <w:shd w:val="clear" w:color="auto" w:fill="FFFFFF"/>
        </w:rPr>
        <w:t> </w:t>
      </w:r>
    </w:p>
    <w:p w:rsidR="006120DF" w:rsidRPr="00950A55" w:rsidRDefault="006120DF" w:rsidP="006120DF">
      <w:pPr>
        <w:widowControl/>
        <w:autoSpaceDE/>
        <w:spacing w:line="207" w:lineRule="atLeast"/>
        <w:ind w:left="142" w:right="112"/>
        <w:jc w:val="left"/>
        <w:rPr>
          <w:rFonts w:ascii="Malgun Gothic" w:eastAsia="Malgun Gothic" w:hAnsi="Malgun Gothic" w:cs="Gulim"/>
          <w:color w:val="000000" w:themeColor="text1"/>
          <w:shd w:val="clear" w:color="auto" w:fill="FFFFFF"/>
        </w:rPr>
      </w:pPr>
      <w:r>
        <w:rPr>
          <w:rFonts w:ascii="Arial" w:hAnsi="Arial"/>
          <w:b/>
          <w:i/>
          <w:color w:val="000000" w:themeColor="text1"/>
          <w:shd w:val="clear" w:color="auto" w:fill="FFFFFF"/>
        </w:rPr>
        <w:t>*Exchange Rates:</w:t>
      </w:r>
    </w:p>
    <w:tbl>
      <w:tblPr>
        <w:tblW w:w="0" w:type="auto"/>
        <w:tblInd w:w="2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0"/>
        <w:gridCol w:w="3120"/>
        <w:gridCol w:w="3120"/>
      </w:tblGrid>
      <w:tr w:rsidR="006120DF" w:rsidRPr="002B32A6" w:rsidTr="000A0429">
        <w:trPr>
          <w:trHeight w:val="363"/>
        </w:trPr>
        <w:tc>
          <w:tcPr>
            <w:tcW w:w="2550" w:type="dxa"/>
            <w:tcBorders>
              <w:top w:val="single" w:sz="6" w:space="0" w:color="auto"/>
              <w:left w:val="nil"/>
              <w:bottom w:val="double" w:sz="4" w:space="0" w:color="auto"/>
              <w:right w:val="double" w:sz="4" w:space="0" w:color="auto"/>
            </w:tcBorders>
            <w:shd w:val="clear" w:color="auto" w:fill="7F7F7F"/>
            <w:vAlign w:val="center"/>
            <w:hideMark/>
          </w:tcPr>
          <w:p w:rsidR="006120DF" w:rsidRPr="00B5156C" w:rsidRDefault="006120DF" w:rsidP="000A0429">
            <w:pPr>
              <w:widowControl/>
              <w:autoSpaceDE/>
              <w:ind w:right="112"/>
              <w:jc w:val="center"/>
              <w:rPr>
                <w:rFonts w:ascii="Arial" w:eastAsia="Gulim" w:hAnsi="Arial" w:cs="Arial"/>
              </w:rPr>
            </w:pPr>
            <w:r>
              <w:rPr>
                <w:rFonts w:ascii="Arial" w:hAnsi="Arial"/>
                <w:b/>
                <w:color w:val="FFFFFF"/>
              </w:rPr>
              <w:t> </w:t>
            </w:r>
          </w:p>
        </w:tc>
        <w:tc>
          <w:tcPr>
            <w:tcW w:w="3120" w:type="dxa"/>
            <w:tcBorders>
              <w:top w:val="single" w:sz="6" w:space="0" w:color="auto"/>
              <w:left w:val="nil"/>
              <w:bottom w:val="double" w:sz="4" w:space="0" w:color="auto"/>
              <w:right w:val="double" w:sz="4" w:space="0" w:color="auto"/>
            </w:tcBorders>
            <w:shd w:val="clear" w:color="auto" w:fill="7F7F7F"/>
            <w:vAlign w:val="center"/>
            <w:hideMark/>
          </w:tcPr>
          <w:p w:rsidR="006120DF" w:rsidRPr="00B5156C" w:rsidRDefault="006120DF" w:rsidP="000A0429">
            <w:pPr>
              <w:widowControl/>
              <w:autoSpaceDE/>
              <w:ind w:right="112"/>
              <w:jc w:val="center"/>
              <w:rPr>
                <w:rFonts w:ascii="Arial" w:eastAsia="Gulim" w:hAnsi="Arial" w:cs="Arial"/>
              </w:rPr>
            </w:pPr>
            <w:r>
              <w:rPr>
                <w:rFonts w:ascii="Arial" w:hAnsi="Arial"/>
                <w:b/>
                <w:color w:val="FFFFFF"/>
              </w:rPr>
              <w:t>FY 2015</w:t>
            </w:r>
          </w:p>
        </w:tc>
        <w:tc>
          <w:tcPr>
            <w:tcW w:w="3120" w:type="dxa"/>
            <w:tcBorders>
              <w:top w:val="single" w:sz="6" w:space="0" w:color="auto"/>
              <w:left w:val="nil"/>
              <w:bottom w:val="double" w:sz="4" w:space="0" w:color="auto"/>
              <w:right w:val="nil"/>
            </w:tcBorders>
            <w:shd w:val="clear" w:color="auto" w:fill="7F7F7F"/>
            <w:vAlign w:val="center"/>
            <w:hideMark/>
          </w:tcPr>
          <w:p w:rsidR="006120DF" w:rsidRPr="00B5156C" w:rsidRDefault="006120DF" w:rsidP="000A0429">
            <w:pPr>
              <w:widowControl/>
              <w:autoSpaceDE/>
              <w:ind w:right="112"/>
              <w:jc w:val="center"/>
              <w:rPr>
                <w:rFonts w:ascii="Arial" w:eastAsia="Gulim" w:hAnsi="Arial" w:cs="Arial"/>
              </w:rPr>
            </w:pPr>
            <w:r>
              <w:rPr>
                <w:rFonts w:ascii="Arial" w:hAnsi="Arial"/>
                <w:b/>
                <w:color w:val="FFFFFF"/>
              </w:rPr>
              <w:t>FY 2016</w:t>
            </w:r>
          </w:p>
        </w:tc>
      </w:tr>
      <w:tr w:rsidR="006120DF" w:rsidRPr="002B32A6" w:rsidTr="000A0429">
        <w:trPr>
          <w:trHeight w:val="363"/>
        </w:trPr>
        <w:tc>
          <w:tcPr>
            <w:tcW w:w="2550" w:type="dxa"/>
            <w:tcBorders>
              <w:top w:val="nil"/>
              <w:left w:val="nil"/>
              <w:bottom w:val="single" w:sz="6" w:space="0" w:color="auto"/>
              <w:right w:val="double" w:sz="4" w:space="0" w:color="auto"/>
            </w:tcBorders>
            <w:shd w:val="clear" w:color="auto" w:fill="auto"/>
            <w:vAlign w:val="center"/>
            <w:hideMark/>
          </w:tcPr>
          <w:p w:rsidR="006120DF" w:rsidRPr="00B5156C" w:rsidRDefault="006120DF" w:rsidP="000A0429">
            <w:pPr>
              <w:widowControl/>
              <w:autoSpaceDE/>
              <w:ind w:right="112"/>
              <w:jc w:val="center"/>
              <w:rPr>
                <w:rFonts w:ascii="Arial" w:eastAsia="Gulim" w:hAnsi="Arial" w:cs="Arial"/>
              </w:rPr>
            </w:pPr>
            <w:r>
              <w:rPr>
                <w:rFonts w:ascii="Arial" w:hAnsi="Arial"/>
                <w:b/>
              </w:rPr>
              <w:t>USD / KRW</w:t>
            </w:r>
          </w:p>
        </w:tc>
        <w:tc>
          <w:tcPr>
            <w:tcW w:w="3120" w:type="dxa"/>
            <w:tcBorders>
              <w:top w:val="nil"/>
              <w:left w:val="nil"/>
              <w:bottom w:val="single" w:sz="6" w:space="0" w:color="auto"/>
              <w:right w:val="double" w:sz="4" w:space="0" w:color="auto"/>
            </w:tcBorders>
            <w:shd w:val="clear" w:color="auto" w:fill="auto"/>
            <w:vAlign w:val="center"/>
            <w:hideMark/>
          </w:tcPr>
          <w:p w:rsidR="006120DF" w:rsidRPr="00B5156C" w:rsidRDefault="006120DF" w:rsidP="000A0429">
            <w:pPr>
              <w:widowControl/>
              <w:autoSpaceDE/>
              <w:ind w:right="160"/>
              <w:jc w:val="center"/>
              <w:rPr>
                <w:rFonts w:ascii="Arial" w:eastAsia="Gulim" w:hAnsi="Arial" w:cs="Arial"/>
                <w:color w:val="000000" w:themeColor="text1"/>
              </w:rPr>
            </w:pPr>
            <w:r>
              <w:rPr>
                <w:rFonts w:ascii="Arial" w:hAnsi="Arial"/>
                <w:b/>
                <w:color w:val="000000" w:themeColor="text1"/>
              </w:rPr>
              <w:t>1,131.49</w:t>
            </w:r>
          </w:p>
        </w:tc>
        <w:tc>
          <w:tcPr>
            <w:tcW w:w="3120" w:type="dxa"/>
            <w:tcBorders>
              <w:top w:val="nil"/>
              <w:left w:val="nil"/>
              <w:bottom w:val="single" w:sz="6" w:space="0" w:color="auto"/>
              <w:right w:val="nil"/>
            </w:tcBorders>
            <w:shd w:val="clear" w:color="auto" w:fill="auto"/>
            <w:vAlign w:val="center"/>
            <w:hideMark/>
          </w:tcPr>
          <w:p w:rsidR="006120DF" w:rsidRPr="00B5156C" w:rsidRDefault="006120DF" w:rsidP="000A0429">
            <w:pPr>
              <w:widowControl/>
              <w:autoSpaceDE/>
              <w:ind w:right="160"/>
              <w:jc w:val="center"/>
              <w:rPr>
                <w:rFonts w:ascii="Arial" w:eastAsia="Gulim" w:hAnsi="Arial" w:cs="Arial"/>
                <w:color w:val="000000" w:themeColor="text1"/>
              </w:rPr>
            </w:pPr>
            <w:r>
              <w:rPr>
                <w:rFonts w:ascii="Arial" w:hAnsi="Arial"/>
                <w:b/>
                <w:color w:val="000000" w:themeColor="text1"/>
              </w:rPr>
              <w:t>1,160.50</w:t>
            </w:r>
          </w:p>
        </w:tc>
      </w:tr>
      <w:tr w:rsidR="006120DF" w:rsidRPr="002B32A6" w:rsidTr="000A0429">
        <w:trPr>
          <w:trHeight w:val="363"/>
        </w:trPr>
        <w:tc>
          <w:tcPr>
            <w:tcW w:w="2550" w:type="dxa"/>
            <w:tcBorders>
              <w:top w:val="nil"/>
              <w:left w:val="nil"/>
              <w:bottom w:val="single" w:sz="6" w:space="0" w:color="auto"/>
              <w:right w:val="double" w:sz="4" w:space="0" w:color="auto"/>
            </w:tcBorders>
            <w:shd w:val="clear" w:color="auto" w:fill="auto"/>
            <w:vAlign w:val="center"/>
            <w:hideMark/>
          </w:tcPr>
          <w:p w:rsidR="006120DF" w:rsidRPr="00B5156C" w:rsidRDefault="006120DF" w:rsidP="000A0429">
            <w:pPr>
              <w:widowControl/>
              <w:autoSpaceDE/>
              <w:ind w:right="112"/>
              <w:jc w:val="center"/>
              <w:rPr>
                <w:rFonts w:ascii="Arial" w:eastAsia="Gulim" w:hAnsi="Arial" w:cs="Arial"/>
              </w:rPr>
            </w:pPr>
            <w:r>
              <w:rPr>
                <w:rFonts w:ascii="Arial" w:hAnsi="Arial"/>
                <w:b/>
              </w:rPr>
              <w:t>EUR / KRW</w:t>
            </w:r>
          </w:p>
        </w:tc>
        <w:tc>
          <w:tcPr>
            <w:tcW w:w="3120" w:type="dxa"/>
            <w:tcBorders>
              <w:top w:val="nil"/>
              <w:left w:val="nil"/>
              <w:bottom w:val="single" w:sz="6" w:space="0" w:color="auto"/>
              <w:right w:val="double" w:sz="4" w:space="0" w:color="auto"/>
            </w:tcBorders>
            <w:shd w:val="clear" w:color="auto" w:fill="auto"/>
            <w:vAlign w:val="center"/>
            <w:hideMark/>
          </w:tcPr>
          <w:p w:rsidR="006120DF" w:rsidRPr="00B5156C" w:rsidRDefault="006120DF" w:rsidP="000A0429">
            <w:pPr>
              <w:widowControl/>
              <w:autoSpaceDE/>
              <w:ind w:right="160"/>
              <w:jc w:val="center"/>
              <w:rPr>
                <w:rFonts w:ascii="Arial" w:eastAsia="Gulim" w:hAnsi="Arial" w:cs="Arial"/>
                <w:color w:val="000000" w:themeColor="text1"/>
              </w:rPr>
            </w:pPr>
            <w:r>
              <w:rPr>
                <w:rFonts w:ascii="Arial" w:hAnsi="Arial"/>
                <w:b/>
                <w:color w:val="000000" w:themeColor="text1"/>
              </w:rPr>
              <w:t>1,255.16</w:t>
            </w:r>
          </w:p>
        </w:tc>
        <w:tc>
          <w:tcPr>
            <w:tcW w:w="3120" w:type="dxa"/>
            <w:tcBorders>
              <w:top w:val="nil"/>
              <w:left w:val="nil"/>
              <w:bottom w:val="single" w:sz="6" w:space="0" w:color="auto"/>
              <w:right w:val="nil"/>
            </w:tcBorders>
            <w:shd w:val="clear" w:color="auto" w:fill="auto"/>
            <w:vAlign w:val="center"/>
            <w:hideMark/>
          </w:tcPr>
          <w:p w:rsidR="006120DF" w:rsidRPr="00B5156C" w:rsidRDefault="006120DF" w:rsidP="000A0429">
            <w:pPr>
              <w:widowControl/>
              <w:autoSpaceDE/>
              <w:ind w:right="160"/>
              <w:jc w:val="center"/>
              <w:rPr>
                <w:rFonts w:ascii="Arial" w:eastAsia="Gulim" w:hAnsi="Arial" w:cs="Arial"/>
                <w:color w:val="000000" w:themeColor="text1"/>
              </w:rPr>
            </w:pPr>
            <w:r>
              <w:rPr>
                <w:rFonts w:ascii="Arial" w:hAnsi="Arial"/>
                <w:b/>
                <w:color w:val="000000" w:themeColor="text1"/>
              </w:rPr>
              <w:t>1,283.30</w:t>
            </w:r>
          </w:p>
        </w:tc>
      </w:tr>
    </w:tbl>
    <w:p w:rsidR="006120DF" w:rsidRPr="006120DF" w:rsidRDefault="006120DF" w:rsidP="006120DF">
      <w:pPr>
        <w:ind w:firstLineChars="50" w:firstLine="90"/>
        <w:rPr>
          <w:rFonts w:ascii="Arial" w:hAnsi="Arial" w:cs="Arial"/>
          <w:i/>
          <w:iCs/>
          <w:sz w:val="18"/>
          <w:szCs w:val="18"/>
          <w:lang w:val="en-US"/>
        </w:rPr>
      </w:pPr>
      <w:r w:rsidRPr="006120DF">
        <w:rPr>
          <w:rFonts w:ascii="Arial" w:hAnsi="Arial"/>
          <w:i/>
          <w:sz w:val="18"/>
          <w:lang w:val="en-US"/>
        </w:rPr>
        <w:t>NOTE: exchange rates for the given annual period, retrieved from Korea Exchange Bank)</w:t>
      </w:r>
    </w:p>
    <w:p w:rsidR="009C6876" w:rsidRPr="006120DF" w:rsidRDefault="009C6876" w:rsidP="009C6876">
      <w:pPr>
        <w:spacing w:line="320" w:lineRule="exact"/>
        <w:rPr>
          <w:b/>
          <w:sz w:val="21"/>
          <w:lang w:val="en-US"/>
        </w:rPr>
      </w:pPr>
    </w:p>
    <w:p w:rsidR="009C6876" w:rsidRPr="00955946" w:rsidRDefault="009C6876" w:rsidP="009C6876">
      <w:pPr>
        <w:spacing w:line="320" w:lineRule="exact"/>
        <w:rPr>
          <w:b/>
          <w:bCs/>
          <w:sz w:val="21"/>
          <w:szCs w:val="21"/>
        </w:rPr>
      </w:pPr>
      <w:r w:rsidRPr="00955946">
        <w:rPr>
          <w:b/>
          <w:sz w:val="21"/>
        </w:rPr>
        <w:t>Sobre Hankook</w:t>
      </w:r>
    </w:p>
    <w:p w:rsidR="009C6876" w:rsidRPr="00955946" w:rsidRDefault="009C6876" w:rsidP="009C6876">
      <w:pPr>
        <w:spacing w:line="320" w:lineRule="exact"/>
        <w:rPr>
          <w:b/>
          <w:bCs/>
          <w:sz w:val="21"/>
          <w:szCs w:val="21"/>
        </w:rPr>
      </w:pPr>
    </w:p>
    <w:p w:rsidR="009C6876" w:rsidRPr="00955946" w:rsidRDefault="009C6876" w:rsidP="009C6876">
      <w:pPr>
        <w:spacing w:line="320" w:lineRule="exact"/>
        <w:rPr>
          <w:sz w:val="21"/>
          <w:szCs w:val="21"/>
        </w:rPr>
      </w:pPr>
      <w:r>
        <w:rPr>
          <w:sz w:val="21"/>
        </w:rPr>
        <w:t>Hankook  tire es</w:t>
      </w:r>
      <w:r w:rsidRPr="00955946">
        <w:rPr>
          <w:sz w:val="21"/>
        </w:rPr>
        <w:t xml:space="preserve"> uno de los cinco fabricantes de neumáticos con mayor volumen </w:t>
      </w:r>
      <w:r>
        <w:rPr>
          <w:sz w:val="21"/>
        </w:rPr>
        <w:t xml:space="preserve">de producción de todo el mundo de </w:t>
      </w:r>
      <w:r w:rsidRPr="00955946">
        <w:rPr>
          <w:sz w:val="21"/>
        </w:rPr>
        <w:t>innovadores neumáticos radiales y de altas prestaciones en el segmento Premium para turismos, SUVs, todoterrenos, vehículos comerciales, autocaravanas, camiones, autobuses y vehículos de competición (circuitos/ rally).</w:t>
      </w:r>
    </w:p>
    <w:p w:rsidR="009C6876" w:rsidRPr="00955946" w:rsidRDefault="009C6876" w:rsidP="009C6876">
      <w:pPr>
        <w:spacing w:line="320" w:lineRule="exact"/>
        <w:rPr>
          <w:sz w:val="21"/>
          <w:szCs w:val="21"/>
        </w:rPr>
      </w:pPr>
    </w:p>
    <w:p w:rsidR="009C6876" w:rsidRPr="00A27C80" w:rsidRDefault="009C6876" w:rsidP="009C6876">
      <w:pPr>
        <w:spacing w:line="320" w:lineRule="exact"/>
        <w:rPr>
          <w:sz w:val="21"/>
        </w:rPr>
      </w:pPr>
      <w:r w:rsidRPr="00955946">
        <w:rPr>
          <w:sz w:val="21"/>
        </w:rPr>
        <w:t xml:space="preserve">Con el fin de ofrecer a sus clientes la máxima calidad combinada con la excelencia tecnológica, Hankook invierte continuamente </w:t>
      </w:r>
      <w:r>
        <w:rPr>
          <w:sz w:val="21"/>
        </w:rPr>
        <w:t>en investigación y desarrollo manteniendo</w:t>
      </w:r>
      <w:r w:rsidRPr="00955946">
        <w:rPr>
          <w:sz w:val="21"/>
        </w:rPr>
        <w:t xml:space="preserve"> sus cinco centros de </w:t>
      </w:r>
      <w:r>
        <w:rPr>
          <w:sz w:val="21"/>
        </w:rPr>
        <w:t>I+D</w:t>
      </w:r>
      <w:r w:rsidRPr="00955946">
        <w:rPr>
          <w:sz w:val="21"/>
        </w:rPr>
        <w:t xml:space="preserve"> y siete grandes fábricas en todo el mundo</w:t>
      </w:r>
      <w:r>
        <w:rPr>
          <w:sz w:val="21"/>
        </w:rPr>
        <w:t>. La</w:t>
      </w:r>
      <w:r w:rsidRPr="00955946">
        <w:rPr>
          <w:sz w:val="21"/>
        </w:rPr>
        <w:t xml:space="preserve"> compañía desarrolla y produce soluciones de neumáticos especialmente adaptadas a las exigencias y requerimientos de los mercados regionales</w:t>
      </w:r>
      <w:r>
        <w:rPr>
          <w:sz w:val="21"/>
        </w:rPr>
        <w:t>. Además, e</w:t>
      </w:r>
      <w:r w:rsidRPr="00955946">
        <w:rPr>
          <w:sz w:val="21"/>
        </w:rPr>
        <w:t>n el Centro Técnico Europeo de Hankook situado en Hannover (Alemania) se desarrollan neumáticos de Equipo Original de acuerdo con los requerimientos de los fabricantes de vehículos líderes en este continente.  L</w:t>
      </w:r>
      <w:r>
        <w:rPr>
          <w:sz w:val="21"/>
        </w:rPr>
        <w:t xml:space="preserve">a producción para la región europea se desarrolla principalmente </w:t>
      </w:r>
      <w:r w:rsidRPr="00955946">
        <w:rPr>
          <w:sz w:val="21"/>
        </w:rPr>
        <w:t>en la fábrica ultra moderna de la compañía en Rácalmás (Hungría), inaugurada en 2007 y en proceso de expansión continua. En la actualidad, más de 3.000 trabajadores producen allí hasta 19 millones de neumáticos anuales para turismos, SUVs y vehículos comerciales.</w:t>
      </w:r>
    </w:p>
    <w:p w:rsidR="009C6876" w:rsidRPr="00955946" w:rsidRDefault="009C6876" w:rsidP="009C6876">
      <w:pPr>
        <w:spacing w:line="320" w:lineRule="exact"/>
        <w:rPr>
          <w:sz w:val="21"/>
          <w:szCs w:val="21"/>
        </w:rPr>
      </w:pPr>
    </w:p>
    <w:p w:rsidR="009C6876" w:rsidRPr="00955946" w:rsidRDefault="009C6876" w:rsidP="009C6876">
      <w:pPr>
        <w:spacing w:line="320" w:lineRule="exact"/>
        <w:rPr>
          <w:sz w:val="21"/>
          <w:szCs w:val="21"/>
        </w:rPr>
      </w:pPr>
      <w:r>
        <w:rPr>
          <w:sz w:val="21"/>
        </w:rPr>
        <w:t xml:space="preserve">La Oficina Central </w:t>
      </w:r>
      <w:r w:rsidRPr="00955946">
        <w:rPr>
          <w:sz w:val="21"/>
        </w:rPr>
        <w:t>Europ</w:t>
      </w:r>
      <w:r>
        <w:rPr>
          <w:sz w:val="21"/>
        </w:rPr>
        <w:t>e</w:t>
      </w:r>
      <w:r w:rsidRPr="00955946">
        <w:rPr>
          <w:sz w:val="21"/>
        </w:rPr>
        <w:t>a de</w:t>
      </w:r>
      <w:r>
        <w:rPr>
          <w:sz w:val="21"/>
        </w:rPr>
        <w:t>l fabricante de neumáticos está</w:t>
      </w:r>
      <w:r w:rsidRPr="00955946">
        <w:rPr>
          <w:sz w:val="21"/>
        </w:rPr>
        <w:t xml:space="preserve"> situad</w:t>
      </w:r>
      <w:r>
        <w:rPr>
          <w:sz w:val="21"/>
        </w:rPr>
        <w:t>a en Neu-Isenburg, cerca de Frakfurt del Meno en Alemania</w:t>
      </w:r>
      <w:r w:rsidRPr="00955946">
        <w:rPr>
          <w:sz w:val="21"/>
        </w:rPr>
        <w:t xml:space="preserve">. Hankook también cuenta con otras filiales en Europa ubicadas en </w:t>
      </w:r>
      <w:r>
        <w:rPr>
          <w:sz w:val="21"/>
        </w:rPr>
        <w:t xml:space="preserve">Alemania, </w:t>
      </w:r>
      <w:r w:rsidRPr="00955946">
        <w:rPr>
          <w:sz w:val="21"/>
        </w:rPr>
        <w:t xml:space="preserve">Gran Bretaña, Francia, Italia, España, Países Bajos, Hungría, República Checa, Rusia, Turquía, Suecia y Polonia. Los neumáticos de Hankook se comercializan directamente a través de distribuidores regionales. La compañía cuenta con 22.000 </w:t>
      </w:r>
      <w:r>
        <w:rPr>
          <w:sz w:val="21"/>
        </w:rPr>
        <w:t>trabajadores</w:t>
      </w:r>
      <w:r w:rsidRPr="00955946">
        <w:rPr>
          <w:sz w:val="21"/>
        </w:rPr>
        <w:t xml:space="preserve"> en todo el mundo y sus productos se distribuyen en más de 180 países. Los fabricantes de vehículos líderes confían en los neumáticos de Equipo Original de Hankook.  Aprox</w:t>
      </w:r>
      <w:r>
        <w:rPr>
          <w:sz w:val="21"/>
        </w:rPr>
        <w:t>imadamente,</w:t>
      </w:r>
      <w:r w:rsidRPr="00955946">
        <w:rPr>
          <w:sz w:val="21"/>
        </w:rPr>
        <w:t xml:space="preserve"> el 30 por ciento de las ventas globales de la compañía se generan en Europa y la región CIS.</w:t>
      </w:r>
    </w:p>
    <w:p w:rsidR="009C6876" w:rsidRPr="00955946" w:rsidRDefault="009C6876" w:rsidP="009C6876">
      <w:pPr>
        <w:snapToGrid w:val="0"/>
        <w:spacing w:line="320" w:lineRule="exact"/>
        <w:rPr>
          <w:bCs/>
          <w:sz w:val="21"/>
          <w:szCs w:val="21"/>
        </w:rPr>
      </w:pPr>
    </w:p>
    <w:p w:rsidR="009C6876" w:rsidRPr="00955946" w:rsidRDefault="009C6876" w:rsidP="00F32070">
      <w:pPr>
        <w:snapToGrid w:val="0"/>
        <w:spacing w:line="320" w:lineRule="exact"/>
        <w:rPr>
          <w:u w:val="single"/>
        </w:rPr>
      </w:pPr>
      <w:r w:rsidRPr="00955946">
        <w:rPr>
          <w:sz w:val="21"/>
        </w:rPr>
        <w:t>Para más inform</w:t>
      </w:r>
      <w:r w:rsidR="00F32070">
        <w:rPr>
          <w:sz w:val="21"/>
        </w:rPr>
        <w:t xml:space="preserve">ación visite nuestra página web </w:t>
      </w:r>
      <w:r w:rsidR="00BF44A9">
        <w:fldChar w:fldCharType="begin"/>
      </w:r>
      <w:r w:rsidR="00BF44A9">
        <w:instrText xml:space="preserve"> HYPERLINK "http://www.hankooktire-mediacenter.com/" \h </w:instrText>
      </w:r>
      <w:r w:rsidR="00BF44A9">
        <w:fldChar w:fldCharType="separate"/>
      </w:r>
      <w:r w:rsidR="00F32070">
        <w:rPr>
          <w:rStyle w:val="Hyperlink"/>
          <w:sz w:val="21"/>
        </w:rPr>
        <w:t>www.hankooktire-mediacenter.com</w:t>
      </w:r>
      <w:r w:rsidR="00BF44A9">
        <w:rPr>
          <w:rStyle w:val="Hyperlink"/>
          <w:sz w:val="21"/>
        </w:rPr>
        <w:fldChar w:fldCharType="end"/>
      </w:r>
      <w:r w:rsidR="00F32070">
        <w:rPr>
          <w:sz w:val="21"/>
        </w:rPr>
        <w:t xml:space="preserve"> o </w:t>
      </w:r>
      <w:r w:rsidR="00BF44A9">
        <w:fldChar w:fldCharType="begin"/>
      </w:r>
      <w:r w:rsidR="00BF44A9">
        <w:instrText xml:space="preserve"> HYPERLINK "http://www.hankooktire.com/" \h </w:instrText>
      </w:r>
      <w:r w:rsidR="00BF44A9">
        <w:fldChar w:fldCharType="separate"/>
      </w:r>
      <w:r w:rsidR="00F32070">
        <w:rPr>
          <w:rStyle w:val="Hyperlink"/>
          <w:sz w:val="21"/>
        </w:rPr>
        <w:t>www.hankooktire.com</w:t>
      </w:r>
      <w:r w:rsidR="00BF44A9">
        <w:rPr>
          <w:rStyle w:val="Hyperlink"/>
          <w:sz w:val="21"/>
        </w:rPr>
        <w:fldChar w:fldCharType="end"/>
      </w:r>
      <w:r w:rsidR="00F32070">
        <w:t>/es</w:t>
      </w:r>
    </w:p>
    <w:p w:rsidR="003864C0" w:rsidRPr="009C6876" w:rsidRDefault="003864C0" w:rsidP="003864C0">
      <w:pPr>
        <w:rPr>
          <w:rFonts w:eastAsia="Malgun Gothic"/>
          <w:sz w:val="21"/>
          <w:szCs w:val="21"/>
        </w:rPr>
      </w:pPr>
    </w:p>
    <w:tbl>
      <w:tblPr>
        <w:tblW w:w="9383" w:type="dxa"/>
        <w:shd w:val="clear" w:color="auto" w:fill="F2F2F2"/>
        <w:tblLook w:val="04A0" w:firstRow="1" w:lastRow="0" w:firstColumn="1" w:lastColumn="0" w:noHBand="0" w:noVBand="1"/>
      </w:tblPr>
      <w:tblGrid>
        <w:gridCol w:w="2481"/>
        <w:gridCol w:w="2422"/>
        <w:gridCol w:w="1755"/>
        <w:gridCol w:w="2725"/>
      </w:tblGrid>
      <w:tr w:rsidR="003864C0" w:rsidTr="003864C0">
        <w:trPr>
          <w:trHeight w:val="985"/>
        </w:trPr>
        <w:tc>
          <w:tcPr>
            <w:tcW w:w="9382" w:type="dxa"/>
            <w:gridSpan w:val="4"/>
            <w:shd w:val="clear" w:color="auto" w:fill="F2F2F2"/>
          </w:tcPr>
          <w:p w:rsidR="003864C0" w:rsidRPr="009C6876" w:rsidRDefault="003864C0">
            <w:pPr>
              <w:tabs>
                <w:tab w:val="center" w:pos="4252"/>
                <w:tab w:val="right" w:pos="8504"/>
              </w:tabs>
              <w:snapToGrid w:val="0"/>
              <w:rPr>
                <w:rFonts w:eastAsia="Batang"/>
                <w:b/>
                <w:bCs/>
                <w:kern w:val="2"/>
                <w:sz w:val="21"/>
                <w:szCs w:val="21"/>
                <w:u w:val="single"/>
                <w:lang w:val="en-US"/>
              </w:rPr>
            </w:pPr>
            <w:r w:rsidRPr="009C6876">
              <w:rPr>
                <w:b/>
                <w:sz w:val="21"/>
                <w:u w:val="single"/>
                <w:lang w:val="en-US"/>
              </w:rPr>
              <w:t>Contact:</w:t>
            </w:r>
          </w:p>
          <w:p w:rsidR="003864C0" w:rsidRPr="009C6876" w:rsidRDefault="003864C0">
            <w:pPr>
              <w:tabs>
                <w:tab w:val="center" w:pos="4252"/>
                <w:tab w:val="right" w:pos="8504"/>
              </w:tabs>
              <w:snapToGrid w:val="0"/>
              <w:rPr>
                <w:b/>
                <w:bCs/>
                <w:sz w:val="21"/>
                <w:szCs w:val="21"/>
                <w:u w:val="single"/>
                <w:lang w:val="en-US"/>
              </w:rPr>
            </w:pPr>
          </w:p>
          <w:p w:rsidR="003864C0" w:rsidRDefault="003864C0">
            <w:pPr>
              <w:tabs>
                <w:tab w:val="center" w:pos="4252"/>
                <w:tab w:val="right" w:pos="8504"/>
              </w:tabs>
              <w:wordWrap w:val="0"/>
              <w:autoSpaceDN w:val="0"/>
              <w:snapToGrid w:val="0"/>
              <w:rPr>
                <w:kern w:val="2"/>
                <w:sz w:val="16"/>
                <w:szCs w:val="16"/>
              </w:rPr>
            </w:pPr>
            <w:r w:rsidRPr="009C6876">
              <w:rPr>
                <w:b/>
                <w:sz w:val="16"/>
                <w:lang w:val="en-US"/>
              </w:rPr>
              <w:t xml:space="preserve">Hankook Tire Europe GmbH | </w:t>
            </w:r>
            <w:r w:rsidRPr="009C6876">
              <w:rPr>
                <w:sz w:val="16"/>
                <w:lang w:val="en-US"/>
              </w:rPr>
              <w:t>Corporate Communications Europe/CIS</w:t>
            </w:r>
            <w:r w:rsidRPr="009C6876">
              <w:rPr>
                <w:b/>
                <w:sz w:val="16"/>
                <w:lang w:val="en-US"/>
              </w:rPr>
              <w:t xml:space="preserve"> | </w:t>
            </w:r>
            <w:proofErr w:type="spellStart"/>
            <w:r w:rsidRPr="009C6876">
              <w:rPr>
                <w:sz w:val="16"/>
                <w:lang w:val="en-US"/>
              </w:rPr>
              <w:t>Siemensstr</w:t>
            </w:r>
            <w:proofErr w:type="spellEnd"/>
            <w:r w:rsidRPr="009C6876">
              <w:rPr>
                <w:sz w:val="16"/>
                <w:lang w:val="en-US"/>
              </w:rPr>
              <w:t xml:space="preserve">. </w:t>
            </w:r>
            <w:r>
              <w:rPr>
                <w:sz w:val="16"/>
              </w:rPr>
              <w:t>5a, 63263 Neu-Isenburg</w:t>
            </w:r>
            <w:r>
              <w:rPr>
                <w:b/>
                <w:sz w:val="16"/>
              </w:rPr>
              <w:t xml:space="preserve"> | </w:t>
            </w:r>
            <w:r>
              <w:rPr>
                <w:sz w:val="16"/>
              </w:rPr>
              <w:t>Germany</w:t>
            </w:r>
          </w:p>
        </w:tc>
      </w:tr>
      <w:tr w:rsidR="003864C0" w:rsidTr="003864C0">
        <w:trPr>
          <w:trHeight w:val="990"/>
        </w:trPr>
        <w:tc>
          <w:tcPr>
            <w:tcW w:w="2481" w:type="dxa"/>
            <w:shd w:val="clear" w:color="auto" w:fill="F2F2F2"/>
          </w:tcPr>
          <w:p w:rsidR="003864C0" w:rsidRDefault="003864C0">
            <w:pPr>
              <w:tabs>
                <w:tab w:val="center" w:pos="4252"/>
                <w:tab w:val="right" w:pos="8504"/>
              </w:tabs>
              <w:snapToGrid w:val="0"/>
              <w:rPr>
                <w:rFonts w:eastAsia="Batang"/>
                <w:b/>
                <w:kern w:val="2"/>
                <w:sz w:val="16"/>
                <w:szCs w:val="16"/>
              </w:rPr>
            </w:pPr>
            <w:r>
              <w:rPr>
                <w:b/>
                <w:sz w:val="16"/>
              </w:rPr>
              <w:t>Anna Magdalena Pasternak</w:t>
            </w:r>
          </w:p>
          <w:p w:rsidR="003864C0" w:rsidRDefault="003864C0">
            <w:pPr>
              <w:tabs>
                <w:tab w:val="center" w:pos="4252"/>
                <w:tab w:val="right" w:pos="8504"/>
              </w:tabs>
              <w:snapToGrid w:val="0"/>
              <w:rPr>
                <w:sz w:val="16"/>
                <w:szCs w:val="16"/>
              </w:rPr>
            </w:pPr>
            <w:r>
              <w:rPr>
                <w:sz w:val="16"/>
              </w:rPr>
              <w:t>PR Manager</w:t>
            </w:r>
          </w:p>
          <w:p w:rsidR="003864C0" w:rsidRDefault="003864C0">
            <w:pPr>
              <w:tabs>
                <w:tab w:val="center" w:pos="4252"/>
                <w:tab w:val="right" w:pos="8504"/>
              </w:tabs>
              <w:snapToGrid w:val="0"/>
              <w:rPr>
                <w:sz w:val="16"/>
                <w:szCs w:val="16"/>
              </w:rPr>
            </w:pPr>
            <w:r>
              <w:rPr>
                <w:sz w:val="16"/>
              </w:rPr>
              <w:t>Tel.: +49 (0) 6102 8149 – 173</w:t>
            </w:r>
          </w:p>
          <w:p w:rsidR="003864C0" w:rsidRDefault="003864C0">
            <w:pPr>
              <w:tabs>
                <w:tab w:val="center" w:pos="4252"/>
                <w:tab w:val="right" w:pos="8504"/>
              </w:tabs>
              <w:snapToGrid w:val="0"/>
              <w:rPr>
                <w:sz w:val="16"/>
                <w:szCs w:val="16"/>
              </w:rPr>
            </w:pPr>
            <w:r>
              <w:rPr>
                <w:sz w:val="16"/>
              </w:rPr>
              <w:t>a.pasternak@hankookreifen.de</w:t>
            </w:r>
          </w:p>
          <w:p w:rsidR="003864C0" w:rsidRDefault="003864C0">
            <w:pPr>
              <w:tabs>
                <w:tab w:val="center" w:pos="4252"/>
                <w:tab w:val="right" w:pos="8504"/>
              </w:tabs>
              <w:wordWrap w:val="0"/>
              <w:autoSpaceDN w:val="0"/>
              <w:snapToGrid w:val="0"/>
              <w:rPr>
                <w:b/>
                <w:kern w:val="2"/>
                <w:sz w:val="16"/>
                <w:szCs w:val="16"/>
              </w:rPr>
            </w:pPr>
          </w:p>
        </w:tc>
        <w:tc>
          <w:tcPr>
            <w:tcW w:w="2422" w:type="dxa"/>
            <w:shd w:val="clear" w:color="auto" w:fill="F2F2F2"/>
            <w:hideMark/>
          </w:tcPr>
          <w:p w:rsidR="003864C0" w:rsidRDefault="003864C0">
            <w:pPr>
              <w:tabs>
                <w:tab w:val="center" w:pos="4252"/>
                <w:tab w:val="right" w:pos="8504"/>
              </w:tabs>
              <w:snapToGrid w:val="0"/>
              <w:rPr>
                <w:rFonts w:eastAsia="Batang"/>
                <w:b/>
                <w:kern w:val="2"/>
                <w:sz w:val="16"/>
                <w:szCs w:val="16"/>
              </w:rPr>
            </w:pPr>
            <w:r>
              <w:rPr>
                <w:b/>
                <w:sz w:val="16"/>
              </w:rPr>
              <w:t>Sabine Riedel</w:t>
            </w:r>
          </w:p>
          <w:p w:rsidR="003864C0" w:rsidRDefault="003864C0">
            <w:pPr>
              <w:tabs>
                <w:tab w:val="center" w:pos="4252"/>
                <w:tab w:val="right" w:pos="8504"/>
              </w:tabs>
              <w:snapToGrid w:val="0"/>
              <w:rPr>
                <w:sz w:val="16"/>
                <w:szCs w:val="16"/>
              </w:rPr>
            </w:pPr>
            <w:r>
              <w:rPr>
                <w:sz w:val="16"/>
              </w:rPr>
              <w:t>Public Relations</w:t>
            </w:r>
          </w:p>
          <w:p w:rsidR="003864C0" w:rsidRDefault="003864C0">
            <w:pPr>
              <w:tabs>
                <w:tab w:val="center" w:pos="4252"/>
                <w:tab w:val="right" w:pos="8504"/>
              </w:tabs>
              <w:snapToGrid w:val="0"/>
              <w:rPr>
                <w:sz w:val="16"/>
                <w:szCs w:val="16"/>
              </w:rPr>
            </w:pPr>
            <w:r>
              <w:rPr>
                <w:sz w:val="16"/>
              </w:rPr>
              <w:t>Tel.: +49 (0) 6102 8149 –174</w:t>
            </w:r>
          </w:p>
          <w:p w:rsidR="003864C0" w:rsidRDefault="00BF44A9" w:rsidP="003864C0">
            <w:pPr>
              <w:tabs>
                <w:tab w:val="center" w:pos="4252"/>
                <w:tab w:val="right" w:pos="8504"/>
              </w:tabs>
              <w:wordWrap w:val="0"/>
              <w:autoSpaceDN w:val="0"/>
              <w:snapToGrid w:val="0"/>
              <w:rPr>
                <w:sz w:val="16"/>
              </w:rPr>
            </w:pPr>
            <w:hyperlink r:id="rId8" w:history="1">
              <w:r w:rsidR="009C6876" w:rsidRPr="00695580">
                <w:rPr>
                  <w:rStyle w:val="Hyperlink"/>
                  <w:sz w:val="16"/>
                </w:rPr>
                <w:t>s.riedel@hankookreifen.de</w:t>
              </w:r>
            </w:hyperlink>
          </w:p>
          <w:p w:rsidR="009C6876" w:rsidRDefault="009C6876" w:rsidP="003864C0">
            <w:pPr>
              <w:tabs>
                <w:tab w:val="center" w:pos="4252"/>
                <w:tab w:val="right" w:pos="8504"/>
              </w:tabs>
              <w:wordWrap w:val="0"/>
              <w:autoSpaceDN w:val="0"/>
              <w:snapToGrid w:val="0"/>
              <w:rPr>
                <w:sz w:val="16"/>
              </w:rPr>
            </w:pPr>
          </w:p>
          <w:p w:rsidR="009C6876" w:rsidRPr="009C6876" w:rsidRDefault="009C6876" w:rsidP="003864C0">
            <w:pPr>
              <w:tabs>
                <w:tab w:val="center" w:pos="4252"/>
                <w:tab w:val="right" w:pos="8504"/>
              </w:tabs>
              <w:wordWrap w:val="0"/>
              <w:autoSpaceDN w:val="0"/>
              <w:snapToGrid w:val="0"/>
              <w:rPr>
                <w:b/>
                <w:sz w:val="16"/>
              </w:rPr>
            </w:pPr>
            <w:r w:rsidRPr="009C6876">
              <w:rPr>
                <w:b/>
                <w:sz w:val="16"/>
              </w:rPr>
              <w:t>Juan Carlos Moyano</w:t>
            </w:r>
          </w:p>
          <w:p w:rsidR="009C6876" w:rsidRPr="006120DF" w:rsidRDefault="009C6876" w:rsidP="003864C0">
            <w:pPr>
              <w:tabs>
                <w:tab w:val="center" w:pos="4252"/>
                <w:tab w:val="right" w:pos="8504"/>
              </w:tabs>
              <w:wordWrap w:val="0"/>
              <w:autoSpaceDN w:val="0"/>
              <w:snapToGrid w:val="0"/>
              <w:rPr>
                <w:sz w:val="16"/>
                <w:lang w:val="en-US"/>
              </w:rPr>
            </w:pPr>
            <w:r w:rsidRPr="006120DF">
              <w:rPr>
                <w:sz w:val="16"/>
                <w:lang w:val="en-US"/>
              </w:rPr>
              <w:t xml:space="preserve">PR &amp; Marketing </w:t>
            </w:r>
          </w:p>
          <w:p w:rsidR="009C6876" w:rsidRPr="006120DF" w:rsidRDefault="009C6876" w:rsidP="003864C0">
            <w:pPr>
              <w:tabs>
                <w:tab w:val="center" w:pos="4252"/>
                <w:tab w:val="right" w:pos="8504"/>
              </w:tabs>
              <w:wordWrap w:val="0"/>
              <w:autoSpaceDN w:val="0"/>
              <w:snapToGrid w:val="0"/>
              <w:rPr>
                <w:sz w:val="16"/>
                <w:lang w:val="en-US"/>
              </w:rPr>
            </w:pPr>
            <w:r w:rsidRPr="006120DF">
              <w:rPr>
                <w:sz w:val="16"/>
                <w:lang w:val="en-US"/>
              </w:rPr>
              <w:t xml:space="preserve">Hankook </w:t>
            </w:r>
            <w:proofErr w:type="spellStart"/>
            <w:r w:rsidRPr="006120DF">
              <w:rPr>
                <w:sz w:val="16"/>
                <w:lang w:val="en-US"/>
              </w:rPr>
              <w:t>España</w:t>
            </w:r>
            <w:proofErr w:type="spellEnd"/>
          </w:p>
          <w:p w:rsidR="009C6876" w:rsidRPr="006120DF" w:rsidRDefault="009C6876" w:rsidP="003864C0">
            <w:pPr>
              <w:tabs>
                <w:tab w:val="center" w:pos="4252"/>
                <w:tab w:val="right" w:pos="8504"/>
              </w:tabs>
              <w:wordWrap w:val="0"/>
              <w:autoSpaceDN w:val="0"/>
              <w:snapToGrid w:val="0"/>
              <w:rPr>
                <w:sz w:val="16"/>
                <w:lang w:val="en-US"/>
              </w:rPr>
            </w:pPr>
            <w:r w:rsidRPr="006120DF">
              <w:rPr>
                <w:sz w:val="16"/>
                <w:lang w:val="en-US"/>
              </w:rPr>
              <w:t>Tel,: +34 628 157 178</w:t>
            </w:r>
          </w:p>
          <w:p w:rsidR="009C6876" w:rsidRDefault="009C6876" w:rsidP="003864C0">
            <w:pPr>
              <w:tabs>
                <w:tab w:val="center" w:pos="4252"/>
                <w:tab w:val="right" w:pos="8504"/>
              </w:tabs>
              <w:wordWrap w:val="0"/>
              <w:autoSpaceDN w:val="0"/>
              <w:snapToGrid w:val="0"/>
              <w:rPr>
                <w:sz w:val="16"/>
              </w:rPr>
            </w:pPr>
            <w:r>
              <w:rPr>
                <w:sz w:val="16"/>
              </w:rPr>
              <w:t>juan.moyano@hankook.es</w:t>
            </w:r>
          </w:p>
          <w:p w:rsidR="009C6876" w:rsidRDefault="009C6876" w:rsidP="003864C0">
            <w:pPr>
              <w:tabs>
                <w:tab w:val="center" w:pos="4252"/>
                <w:tab w:val="right" w:pos="8504"/>
              </w:tabs>
              <w:wordWrap w:val="0"/>
              <w:autoSpaceDN w:val="0"/>
              <w:snapToGrid w:val="0"/>
              <w:rPr>
                <w:kern w:val="2"/>
                <w:sz w:val="16"/>
                <w:szCs w:val="16"/>
              </w:rPr>
            </w:pPr>
          </w:p>
        </w:tc>
        <w:tc>
          <w:tcPr>
            <w:tcW w:w="1755" w:type="dxa"/>
            <w:shd w:val="clear" w:color="auto" w:fill="F2F2F2"/>
          </w:tcPr>
          <w:p w:rsidR="003864C0" w:rsidRDefault="003864C0">
            <w:pPr>
              <w:tabs>
                <w:tab w:val="center" w:pos="4252"/>
                <w:tab w:val="right" w:pos="8504"/>
              </w:tabs>
              <w:snapToGrid w:val="0"/>
              <w:rPr>
                <w:rFonts w:eastAsia="Batang"/>
                <w:b/>
                <w:kern w:val="2"/>
                <w:sz w:val="16"/>
                <w:szCs w:val="16"/>
              </w:rPr>
            </w:pPr>
          </w:p>
          <w:p w:rsidR="003864C0" w:rsidRDefault="003864C0">
            <w:pPr>
              <w:tabs>
                <w:tab w:val="center" w:pos="4252"/>
                <w:tab w:val="right" w:pos="8504"/>
              </w:tabs>
              <w:snapToGrid w:val="0"/>
              <w:rPr>
                <w:b/>
                <w:sz w:val="16"/>
                <w:szCs w:val="16"/>
              </w:rPr>
            </w:pPr>
          </w:p>
          <w:p w:rsidR="003864C0" w:rsidRDefault="003864C0">
            <w:pPr>
              <w:tabs>
                <w:tab w:val="center" w:pos="4252"/>
                <w:tab w:val="right" w:pos="8504"/>
              </w:tabs>
              <w:snapToGrid w:val="0"/>
              <w:rPr>
                <w:b/>
                <w:sz w:val="16"/>
                <w:szCs w:val="16"/>
              </w:rPr>
            </w:pPr>
          </w:p>
          <w:p w:rsidR="003864C0" w:rsidRDefault="003864C0">
            <w:pPr>
              <w:tabs>
                <w:tab w:val="center" w:pos="4252"/>
                <w:tab w:val="right" w:pos="8504"/>
              </w:tabs>
              <w:snapToGrid w:val="0"/>
              <w:rPr>
                <w:b/>
                <w:sz w:val="16"/>
                <w:szCs w:val="16"/>
              </w:rPr>
            </w:pPr>
          </w:p>
          <w:p w:rsidR="003864C0" w:rsidRDefault="003864C0">
            <w:pPr>
              <w:tabs>
                <w:tab w:val="center" w:pos="4252"/>
                <w:tab w:val="right" w:pos="8504"/>
              </w:tabs>
              <w:snapToGrid w:val="0"/>
              <w:rPr>
                <w:b/>
                <w:sz w:val="16"/>
                <w:szCs w:val="16"/>
              </w:rPr>
            </w:pPr>
          </w:p>
          <w:p w:rsidR="003864C0" w:rsidRDefault="003864C0">
            <w:pPr>
              <w:tabs>
                <w:tab w:val="center" w:pos="4252"/>
                <w:tab w:val="right" w:pos="8504"/>
              </w:tabs>
              <w:wordWrap w:val="0"/>
              <w:autoSpaceDN w:val="0"/>
              <w:snapToGrid w:val="0"/>
              <w:rPr>
                <w:kern w:val="2"/>
                <w:sz w:val="16"/>
                <w:szCs w:val="16"/>
              </w:rPr>
            </w:pPr>
          </w:p>
        </w:tc>
        <w:tc>
          <w:tcPr>
            <w:tcW w:w="2725" w:type="dxa"/>
            <w:shd w:val="clear" w:color="auto" w:fill="F2F2F2"/>
          </w:tcPr>
          <w:p w:rsidR="003864C0" w:rsidRDefault="003864C0">
            <w:pPr>
              <w:tabs>
                <w:tab w:val="center" w:pos="4252"/>
                <w:tab w:val="right" w:pos="8504"/>
              </w:tabs>
              <w:snapToGrid w:val="0"/>
              <w:rPr>
                <w:rFonts w:eastAsia="Batang"/>
                <w:kern w:val="2"/>
                <w:sz w:val="16"/>
                <w:szCs w:val="16"/>
              </w:rPr>
            </w:pPr>
          </w:p>
          <w:p w:rsidR="003864C0" w:rsidRDefault="003864C0">
            <w:pPr>
              <w:tabs>
                <w:tab w:val="center" w:pos="4252"/>
                <w:tab w:val="right" w:pos="8504"/>
              </w:tabs>
              <w:snapToGrid w:val="0"/>
              <w:rPr>
                <w:sz w:val="16"/>
                <w:szCs w:val="16"/>
              </w:rPr>
            </w:pPr>
          </w:p>
          <w:p w:rsidR="003864C0" w:rsidRDefault="003864C0">
            <w:pPr>
              <w:tabs>
                <w:tab w:val="center" w:pos="4252"/>
                <w:tab w:val="right" w:pos="8504"/>
              </w:tabs>
              <w:wordWrap w:val="0"/>
              <w:autoSpaceDN w:val="0"/>
              <w:snapToGrid w:val="0"/>
              <w:rPr>
                <w:kern w:val="2"/>
                <w:sz w:val="16"/>
                <w:szCs w:val="16"/>
              </w:rPr>
            </w:pPr>
          </w:p>
        </w:tc>
      </w:tr>
    </w:tbl>
    <w:p w:rsidR="003864C0" w:rsidRDefault="003864C0" w:rsidP="003864C0">
      <w:pPr>
        <w:jc w:val="center"/>
        <w:rPr>
          <w:rFonts w:eastAsia="Batang"/>
          <w:b/>
          <w:snapToGrid w:val="0"/>
          <w:kern w:val="2"/>
          <w:sz w:val="16"/>
          <w:szCs w:val="16"/>
        </w:rPr>
      </w:pPr>
    </w:p>
    <w:p w:rsidR="003864C0" w:rsidRDefault="003864C0" w:rsidP="003864C0">
      <w:pPr>
        <w:snapToGrid w:val="0"/>
        <w:spacing w:line="276" w:lineRule="auto"/>
        <w:ind w:rightChars="197" w:right="394"/>
        <w:rPr>
          <w:b/>
          <w:bCs/>
          <w:sz w:val="21"/>
          <w:szCs w:val="21"/>
        </w:rPr>
      </w:pPr>
    </w:p>
    <w:p w:rsidR="00E44714" w:rsidRDefault="00E44714" w:rsidP="00E44714">
      <w:pPr>
        <w:rPr>
          <w:rFonts w:eastAsia="Malgun Gothic"/>
          <w:sz w:val="21"/>
          <w:szCs w:val="21"/>
        </w:rPr>
      </w:pPr>
    </w:p>
    <w:p w:rsidR="00E44714" w:rsidRDefault="00E44714" w:rsidP="00E44714">
      <w:pPr>
        <w:jc w:val="center"/>
        <w:rPr>
          <w:rFonts w:eastAsia="Batang"/>
          <w:b/>
          <w:snapToGrid w:val="0"/>
          <w:kern w:val="2"/>
          <w:sz w:val="16"/>
          <w:szCs w:val="16"/>
        </w:rPr>
      </w:pPr>
    </w:p>
    <w:p w:rsidR="00E44714" w:rsidRDefault="00E44714" w:rsidP="00E44714">
      <w:pPr>
        <w:snapToGrid w:val="0"/>
        <w:spacing w:line="276" w:lineRule="auto"/>
        <w:ind w:rightChars="197" w:right="394"/>
        <w:rPr>
          <w:b/>
          <w:bCs/>
          <w:sz w:val="21"/>
          <w:szCs w:val="21"/>
        </w:rPr>
      </w:pPr>
    </w:p>
    <w:p w:rsidR="009A581C" w:rsidRDefault="009A581C" w:rsidP="00ED6FBE">
      <w:pPr>
        <w:jc w:val="center"/>
        <w:rPr>
          <w:b/>
          <w:snapToGrid w:val="0"/>
          <w:sz w:val="16"/>
          <w:szCs w:val="16"/>
        </w:rPr>
      </w:pPr>
    </w:p>
    <w:sectPr w:rsidR="009A581C" w:rsidSect="009C6876">
      <w:headerReference w:type="default" r:id="rId9"/>
      <w:pgSz w:w="11906" w:h="16838"/>
      <w:pgMar w:top="851" w:right="1134" w:bottom="284" w:left="1134" w:header="839"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4A9" w:rsidRDefault="00BF44A9">
      <w:r>
        <w:separator/>
      </w:r>
    </w:p>
  </w:endnote>
  <w:endnote w:type="continuationSeparator" w:id="0">
    <w:p w:rsidR="00BF44A9" w:rsidRDefault="00BF4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AFF" w:usb1="C0007843" w:usb2="00000009" w:usb3="00000000" w:csb0="000001FF" w:csb1="00000000"/>
  </w:font>
  <w:font w:name="Dotum">
    <w:altName w:val="Malgun Gothic"/>
    <w:panose1 w:val="020B0600000101010101"/>
    <w:charset w:val="81"/>
    <w:family w:val="swiss"/>
    <w:pitch w:val="variable"/>
    <w:sig w:usb0="B00002AF" w:usb1="69D77CFB" w:usb2="00000030" w:usb3="00000000" w:csb0="0008009F" w:csb1="00000000"/>
  </w:font>
  <w:font w:name="Gulim">
    <w:altName w:val="Malgun Gothic"/>
    <w:panose1 w:val="020B0600000101010101"/>
    <w:charset w:val="81"/>
    <w:family w:val="swiss"/>
    <w:pitch w:val="variable"/>
    <w:sig w:usb0="B00002AF" w:usb1="69D77CFB" w:usb2="00000030" w:usb3="00000000" w:csb0="0008009F" w:csb1="00000000"/>
  </w:font>
  <w:font w:name="Batang">
    <w:altName w:val="Malgun Gothic"/>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4A9" w:rsidRDefault="00BF44A9">
      <w:r>
        <w:separator/>
      </w:r>
    </w:p>
  </w:footnote>
  <w:footnote w:type="continuationSeparator" w:id="0">
    <w:p w:rsidR="00BF44A9" w:rsidRDefault="00BF4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189" w:rsidRDefault="009C6876">
    <w:pPr>
      <w:pStyle w:val="Kopfzeile"/>
    </w:pPr>
    <w:r>
      <w:rPr>
        <w:noProof/>
        <w:lang w:val="de-DE" w:eastAsia="de-DE" w:bidi="ar-SA"/>
      </w:rPr>
      <w:drawing>
        <wp:inline distT="0" distB="0" distL="0" distR="0">
          <wp:extent cx="6120130" cy="888986"/>
          <wp:effectExtent l="19050" t="0" r="0" b="0"/>
          <wp:docPr id="1" name="Imagen 1" descr="C:\Users\Marta Ruiz\Desktop\JUAN_CARLOS\PRENSA\Boilerplate\2016_HK_ES_letterhead_bann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a Ruiz\Desktop\JUAN_CARLOS\PRENSA\Boilerplate\2016_HK_ES_letterhead_banner-01.jpg"/>
                  <pic:cNvPicPr>
                    <a:picLocks noChangeAspect="1" noChangeArrowheads="1"/>
                  </pic:cNvPicPr>
                </pic:nvPicPr>
                <pic:blipFill>
                  <a:blip r:embed="rId1"/>
                  <a:srcRect/>
                  <a:stretch>
                    <a:fillRect/>
                  </a:stretch>
                </pic:blipFill>
                <pic:spPr bwMode="auto">
                  <a:xfrm>
                    <a:off x="0" y="0"/>
                    <a:ext cx="6120130" cy="88898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8E60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FE5F15"/>
    <w:multiLevelType w:val="hybridMultilevel"/>
    <w:tmpl w:val="45CC325E"/>
    <w:lvl w:ilvl="0" w:tplc="4C76B7BC">
      <w:start w:val="1"/>
      <w:numFmt w:val="decimal"/>
      <w:lvlText w:val="%1."/>
      <w:lvlJc w:val="left"/>
      <w:pPr>
        <w:ind w:left="720" w:hanging="360"/>
      </w:pPr>
      <w:rPr>
        <w:rFonts w:hint="default"/>
        <w:b/>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29D7544"/>
    <w:multiLevelType w:val="hybridMultilevel"/>
    <w:tmpl w:val="283E34EA"/>
    <w:lvl w:ilvl="0" w:tplc="2BB8B4D0">
      <w:start w:val="1"/>
      <w:numFmt w:val="decimal"/>
      <w:lvlText w:val="%1."/>
      <w:lvlJc w:val="left"/>
      <w:pPr>
        <w:ind w:left="502" w:hanging="360"/>
      </w:pPr>
      <w:rPr>
        <w:rFonts w:hint="default"/>
        <w:b/>
        <w:i/>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3" w15:restartNumberingAfterBreak="0">
    <w:nsid w:val="39E6743A"/>
    <w:multiLevelType w:val="hybridMultilevel"/>
    <w:tmpl w:val="A12CBFC6"/>
    <w:lvl w:ilvl="0" w:tplc="250456A6">
      <w:start w:val="1"/>
      <w:numFmt w:val="decimal"/>
      <w:lvlText w:val="%1."/>
      <w:lvlJc w:val="left"/>
      <w:pPr>
        <w:ind w:left="502" w:hanging="360"/>
      </w:pPr>
      <w:rPr>
        <w:rFonts w:hint="default"/>
        <w:b/>
        <w:i/>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4"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5"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6" w15:restartNumberingAfterBreak="0">
    <w:nsid w:val="7E281FCB"/>
    <w:multiLevelType w:val="hybridMultilevel"/>
    <w:tmpl w:val="7F74008A"/>
    <w:lvl w:ilvl="0" w:tplc="99A4A460">
      <w:start w:val="1"/>
      <w:numFmt w:val="decimalZero"/>
      <w:lvlText w:val="%1."/>
      <w:lvlJc w:val="left"/>
      <w:pPr>
        <w:ind w:left="720" w:hanging="360"/>
      </w:pPr>
      <w:rPr>
        <w:rFonts w:hint="default"/>
        <w:b/>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80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AC27D2"/>
    <w:rsid w:val="00003BC8"/>
    <w:rsid w:val="00007706"/>
    <w:rsid w:val="00007D6A"/>
    <w:rsid w:val="0001245E"/>
    <w:rsid w:val="000167D6"/>
    <w:rsid w:val="00017048"/>
    <w:rsid w:val="00021F2A"/>
    <w:rsid w:val="000243BC"/>
    <w:rsid w:val="00025478"/>
    <w:rsid w:val="000277A1"/>
    <w:rsid w:val="000277F0"/>
    <w:rsid w:val="0003090D"/>
    <w:rsid w:val="00032CC2"/>
    <w:rsid w:val="00033BFF"/>
    <w:rsid w:val="0004019F"/>
    <w:rsid w:val="00040A5B"/>
    <w:rsid w:val="00042BF6"/>
    <w:rsid w:val="00043A30"/>
    <w:rsid w:val="00046BD3"/>
    <w:rsid w:val="000477E1"/>
    <w:rsid w:val="00050BD1"/>
    <w:rsid w:val="00053A5A"/>
    <w:rsid w:val="00060EA9"/>
    <w:rsid w:val="00072110"/>
    <w:rsid w:val="0007719E"/>
    <w:rsid w:val="00077E46"/>
    <w:rsid w:val="00082A94"/>
    <w:rsid w:val="000838B8"/>
    <w:rsid w:val="00086374"/>
    <w:rsid w:val="000A057B"/>
    <w:rsid w:val="000A0D37"/>
    <w:rsid w:val="000A4424"/>
    <w:rsid w:val="000B3217"/>
    <w:rsid w:val="000C1213"/>
    <w:rsid w:val="000C5D93"/>
    <w:rsid w:val="000C685F"/>
    <w:rsid w:val="000D0B53"/>
    <w:rsid w:val="000D2235"/>
    <w:rsid w:val="000F2F32"/>
    <w:rsid w:val="001003A6"/>
    <w:rsid w:val="00102C10"/>
    <w:rsid w:val="00120881"/>
    <w:rsid w:val="00121E91"/>
    <w:rsid w:val="00126031"/>
    <w:rsid w:val="001341F3"/>
    <w:rsid w:val="00136B8C"/>
    <w:rsid w:val="00136D86"/>
    <w:rsid w:val="0014795D"/>
    <w:rsid w:val="00150006"/>
    <w:rsid w:val="00157BB8"/>
    <w:rsid w:val="00165268"/>
    <w:rsid w:val="00171466"/>
    <w:rsid w:val="001761C2"/>
    <w:rsid w:val="00177442"/>
    <w:rsid w:val="00177474"/>
    <w:rsid w:val="001A0339"/>
    <w:rsid w:val="001A26B2"/>
    <w:rsid w:val="001B42C1"/>
    <w:rsid w:val="001B7FD7"/>
    <w:rsid w:val="001C5F39"/>
    <w:rsid w:val="001C7EE2"/>
    <w:rsid w:val="001D2EBA"/>
    <w:rsid w:val="001D5EBF"/>
    <w:rsid w:val="001D75B4"/>
    <w:rsid w:val="001E1FA0"/>
    <w:rsid w:val="001E3DFA"/>
    <w:rsid w:val="001F140C"/>
    <w:rsid w:val="001F3549"/>
    <w:rsid w:val="001F3899"/>
    <w:rsid w:val="001F3C7E"/>
    <w:rsid w:val="002048E3"/>
    <w:rsid w:val="00205950"/>
    <w:rsid w:val="00213955"/>
    <w:rsid w:val="00214DE6"/>
    <w:rsid w:val="0021523E"/>
    <w:rsid w:val="00216E08"/>
    <w:rsid w:val="002234EB"/>
    <w:rsid w:val="002456F7"/>
    <w:rsid w:val="00255571"/>
    <w:rsid w:val="00256563"/>
    <w:rsid w:val="00261163"/>
    <w:rsid w:val="00261A5E"/>
    <w:rsid w:val="00261B4E"/>
    <w:rsid w:val="00265EE0"/>
    <w:rsid w:val="00266CB0"/>
    <w:rsid w:val="00266D71"/>
    <w:rsid w:val="0027018C"/>
    <w:rsid w:val="00272EC5"/>
    <w:rsid w:val="002730C9"/>
    <w:rsid w:val="00273377"/>
    <w:rsid w:val="00290A5D"/>
    <w:rsid w:val="00291828"/>
    <w:rsid w:val="002B0868"/>
    <w:rsid w:val="002B0B17"/>
    <w:rsid w:val="002B4036"/>
    <w:rsid w:val="002C44DC"/>
    <w:rsid w:val="002D135C"/>
    <w:rsid w:val="002D19C1"/>
    <w:rsid w:val="002D1FDE"/>
    <w:rsid w:val="002D29E6"/>
    <w:rsid w:val="002D4691"/>
    <w:rsid w:val="002E0EBE"/>
    <w:rsid w:val="002E72C5"/>
    <w:rsid w:val="002F3B66"/>
    <w:rsid w:val="002F42DF"/>
    <w:rsid w:val="002F5D55"/>
    <w:rsid w:val="002F5EBC"/>
    <w:rsid w:val="002F6189"/>
    <w:rsid w:val="0031284D"/>
    <w:rsid w:val="00312912"/>
    <w:rsid w:val="00320CC1"/>
    <w:rsid w:val="00323504"/>
    <w:rsid w:val="003245D7"/>
    <w:rsid w:val="003349E2"/>
    <w:rsid w:val="0034325F"/>
    <w:rsid w:val="00345CA5"/>
    <w:rsid w:val="00354836"/>
    <w:rsid w:val="00363A15"/>
    <w:rsid w:val="00372945"/>
    <w:rsid w:val="00372FE8"/>
    <w:rsid w:val="00373DBC"/>
    <w:rsid w:val="0038069F"/>
    <w:rsid w:val="00383E21"/>
    <w:rsid w:val="0038424C"/>
    <w:rsid w:val="003864C0"/>
    <w:rsid w:val="00393F2A"/>
    <w:rsid w:val="003A395A"/>
    <w:rsid w:val="003B17CC"/>
    <w:rsid w:val="003B6CD1"/>
    <w:rsid w:val="003C020D"/>
    <w:rsid w:val="003C1972"/>
    <w:rsid w:val="003D4542"/>
    <w:rsid w:val="003E1C4E"/>
    <w:rsid w:val="003E37FB"/>
    <w:rsid w:val="003F002E"/>
    <w:rsid w:val="003F5D86"/>
    <w:rsid w:val="00400911"/>
    <w:rsid w:val="00402239"/>
    <w:rsid w:val="004133EC"/>
    <w:rsid w:val="00421195"/>
    <w:rsid w:val="00426C0F"/>
    <w:rsid w:val="0042706A"/>
    <w:rsid w:val="0043391E"/>
    <w:rsid w:val="004344B9"/>
    <w:rsid w:val="0043656E"/>
    <w:rsid w:val="00440639"/>
    <w:rsid w:val="004474AD"/>
    <w:rsid w:val="004475B8"/>
    <w:rsid w:val="004508B6"/>
    <w:rsid w:val="004544BA"/>
    <w:rsid w:val="0046058C"/>
    <w:rsid w:val="00462079"/>
    <w:rsid w:val="00464CEE"/>
    <w:rsid w:val="00474905"/>
    <w:rsid w:val="00486B83"/>
    <w:rsid w:val="004879D9"/>
    <w:rsid w:val="0049327D"/>
    <w:rsid w:val="004A0E15"/>
    <w:rsid w:val="004A3619"/>
    <w:rsid w:val="004A683A"/>
    <w:rsid w:val="004B404D"/>
    <w:rsid w:val="004C4D8D"/>
    <w:rsid w:val="004C7E3A"/>
    <w:rsid w:val="004D2BF3"/>
    <w:rsid w:val="004D66C1"/>
    <w:rsid w:val="004E4511"/>
    <w:rsid w:val="004F2D20"/>
    <w:rsid w:val="004F70FB"/>
    <w:rsid w:val="004F7710"/>
    <w:rsid w:val="005058BD"/>
    <w:rsid w:val="005069A2"/>
    <w:rsid w:val="00511BB3"/>
    <w:rsid w:val="005241AD"/>
    <w:rsid w:val="005356FB"/>
    <w:rsid w:val="0055287B"/>
    <w:rsid w:val="00560E20"/>
    <w:rsid w:val="00565B98"/>
    <w:rsid w:val="005673BC"/>
    <w:rsid w:val="005676C4"/>
    <w:rsid w:val="00570CEF"/>
    <w:rsid w:val="00571C67"/>
    <w:rsid w:val="005741FA"/>
    <w:rsid w:val="00577D06"/>
    <w:rsid w:val="00580346"/>
    <w:rsid w:val="00585FF5"/>
    <w:rsid w:val="00597229"/>
    <w:rsid w:val="005A07BB"/>
    <w:rsid w:val="005A17D5"/>
    <w:rsid w:val="005A3139"/>
    <w:rsid w:val="005A3C2D"/>
    <w:rsid w:val="005A4AF0"/>
    <w:rsid w:val="005C2722"/>
    <w:rsid w:val="005C4B35"/>
    <w:rsid w:val="005C5462"/>
    <w:rsid w:val="005C772F"/>
    <w:rsid w:val="005D10D2"/>
    <w:rsid w:val="005D4D70"/>
    <w:rsid w:val="005F7E60"/>
    <w:rsid w:val="005F7FC3"/>
    <w:rsid w:val="006028F8"/>
    <w:rsid w:val="006057A3"/>
    <w:rsid w:val="00606496"/>
    <w:rsid w:val="00610436"/>
    <w:rsid w:val="006120DF"/>
    <w:rsid w:val="00613F94"/>
    <w:rsid w:val="006340A6"/>
    <w:rsid w:val="0064121F"/>
    <w:rsid w:val="0064741D"/>
    <w:rsid w:val="006501D7"/>
    <w:rsid w:val="00651150"/>
    <w:rsid w:val="006530E5"/>
    <w:rsid w:val="00661555"/>
    <w:rsid w:val="00661644"/>
    <w:rsid w:val="0066215D"/>
    <w:rsid w:val="00664120"/>
    <w:rsid w:val="00670A55"/>
    <w:rsid w:val="006740DE"/>
    <w:rsid w:val="00677C4B"/>
    <w:rsid w:val="00680763"/>
    <w:rsid w:val="00681B39"/>
    <w:rsid w:val="006832D8"/>
    <w:rsid w:val="00685098"/>
    <w:rsid w:val="00687666"/>
    <w:rsid w:val="006A569B"/>
    <w:rsid w:val="006A74A9"/>
    <w:rsid w:val="006B694E"/>
    <w:rsid w:val="006B6A50"/>
    <w:rsid w:val="006B752D"/>
    <w:rsid w:val="006C0958"/>
    <w:rsid w:val="006C1BA4"/>
    <w:rsid w:val="006D0598"/>
    <w:rsid w:val="006D1B54"/>
    <w:rsid w:val="006D65D5"/>
    <w:rsid w:val="006E3A77"/>
    <w:rsid w:val="006F0BC2"/>
    <w:rsid w:val="006F15B7"/>
    <w:rsid w:val="006F1623"/>
    <w:rsid w:val="00703BE2"/>
    <w:rsid w:val="007112C0"/>
    <w:rsid w:val="00712762"/>
    <w:rsid w:val="00722B5B"/>
    <w:rsid w:val="00725062"/>
    <w:rsid w:val="00725BCE"/>
    <w:rsid w:val="00735356"/>
    <w:rsid w:val="007370C0"/>
    <w:rsid w:val="00741A90"/>
    <w:rsid w:val="007509F3"/>
    <w:rsid w:val="00752C76"/>
    <w:rsid w:val="00755643"/>
    <w:rsid w:val="0076585C"/>
    <w:rsid w:val="00771236"/>
    <w:rsid w:val="007724B7"/>
    <w:rsid w:val="00773397"/>
    <w:rsid w:val="00775469"/>
    <w:rsid w:val="0078404C"/>
    <w:rsid w:val="007A3B79"/>
    <w:rsid w:val="007B21FB"/>
    <w:rsid w:val="007B23F8"/>
    <w:rsid w:val="007B555A"/>
    <w:rsid w:val="007B5988"/>
    <w:rsid w:val="007C7B6D"/>
    <w:rsid w:val="007D0340"/>
    <w:rsid w:val="007D0C49"/>
    <w:rsid w:val="007D4923"/>
    <w:rsid w:val="007D5F28"/>
    <w:rsid w:val="007F1412"/>
    <w:rsid w:val="007F5BA8"/>
    <w:rsid w:val="007F7A60"/>
    <w:rsid w:val="00807DCE"/>
    <w:rsid w:val="00811A73"/>
    <w:rsid w:val="00825B91"/>
    <w:rsid w:val="008269B0"/>
    <w:rsid w:val="00826B25"/>
    <w:rsid w:val="008341A2"/>
    <w:rsid w:val="008377CC"/>
    <w:rsid w:val="00841B42"/>
    <w:rsid w:val="008535A0"/>
    <w:rsid w:val="008559A2"/>
    <w:rsid w:val="00857ECE"/>
    <w:rsid w:val="00860962"/>
    <w:rsid w:val="008618DE"/>
    <w:rsid w:val="008635F2"/>
    <w:rsid w:val="0086730D"/>
    <w:rsid w:val="0088506E"/>
    <w:rsid w:val="0088732F"/>
    <w:rsid w:val="00895964"/>
    <w:rsid w:val="00895D5C"/>
    <w:rsid w:val="008A3A92"/>
    <w:rsid w:val="008A5E6C"/>
    <w:rsid w:val="008B1353"/>
    <w:rsid w:val="008C1894"/>
    <w:rsid w:val="008C2DC6"/>
    <w:rsid w:val="008D00BA"/>
    <w:rsid w:val="008E1F7C"/>
    <w:rsid w:val="008E625A"/>
    <w:rsid w:val="008F6AF1"/>
    <w:rsid w:val="0090419F"/>
    <w:rsid w:val="00907A45"/>
    <w:rsid w:val="00912390"/>
    <w:rsid w:val="00914BD4"/>
    <w:rsid w:val="009165C3"/>
    <w:rsid w:val="00916890"/>
    <w:rsid w:val="009355F7"/>
    <w:rsid w:val="0094485B"/>
    <w:rsid w:val="00945FAD"/>
    <w:rsid w:val="0095299E"/>
    <w:rsid w:val="0096710D"/>
    <w:rsid w:val="0097173B"/>
    <w:rsid w:val="00972A29"/>
    <w:rsid w:val="00974AF9"/>
    <w:rsid w:val="00976D36"/>
    <w:rsid w:val="00984933"/>
    <w:rsid w:val="0098537A"/>
    <w:rsid w:val="00986758"/>
    <w:rsid w:val="00994E0D"/>
    <w:rsid w:val="00996F81"/>
    <w:rsid w:val="009A16F3"/>
    <w:rsid w:val="009A581C"/>
    <w:rsid w:val="009B2B4A"/>
    <w:rsid w:val="009B637A"/>
    <w:rsid w:val="009C1C8A"/>
    <w:rsid w:val="009C31B4"/>
    <w:rsid w:val="009C38F3"/>
    <w:rsid w:val="009C4370"/>
    <w:rsid w:val="009C6876"/>
    <w:rsid w:val="009D0774"/>
    <w:rsid w:val="009D5249"/>
    <w:rsid w:val="009D6881"/>
    <w:rsid w:val="009E19F8"/>
    <w:rsid w:val="009F62DC"/>
    <w:rsid w:val="00A05224"/>
    <w:rsid w:val="00A07538"/>
    <w:rsid w:val="00A1729A"/>
    <w:rsid w:val="00A17827"/>
    <w:rsid w:val="00A238D7"/>
    <w:rsid w:val="00A244C1"/>
    <w:rsid w:val="00A258AB"/>
    <w:rsid w:val="00A27299"/>
    <w:rsid w:val="00A31926"/>
    <w:rsid w:val="00A35771"/>
    <w:rsid w:val="00A40C8F"/>
    <w:rsid w:val="00A42154"/>
    <w:rsid w:val="00A535D2"/>
    <w:rsid w:val="00A538B2"/>
    <w:rsid w:val="00A56E60"/>
    <w:rsid w:val="00A61701"/>
    <w:rsid w:val="00A665F4"/>
    <w:rsid w:val="00A813D2"/>
    <w:rsid w:val="00A83FBA"/>
    <w:rsid w:val="00A86B11"/>
    <w:rsid w:val="00A92B5F"/>
    <w:rsid w:val="00AA1C50"/>
    <w:rsid w:val="00AA3214"/>
    <w:rsid w:val="00AA40BA"/>
    <w:rsid w:val="00AC16F5"/>
    <w:rsid w:val="00AC27D2"/>
    <w:rsid w:val="00AC5562"/>
    <w:rsid w:val="00AD1E4B"/>
    <w:rsid w:val="00AD2DC5"/>
    <w:rsid w:val="00AD39D7"/>
    <w:rsid w:val="00AE7CD8"/>
    <w:rsid w:val="00AE7E28"/>
    <w:rsid w:val="00AF38B2"/>
    <w:rsid w:val="00AF3DEF"/>
    <w:rsid w:val="00B0087D"/>
    <w:rsid w:val="00B02039"/>
    <w:rsid w:val="00B0220F"/>
    <w:rsid w:val="00B0629A"/>
    <w:rsid w:val="00B112E1"/>
    <w:rsid w:val="00B20795"/>
    <w:rsid w:val="00B24F38"/>
    <w:rsid w:val="00B272FF"/>
    <w:rsid w:val="00B366FA"/>
    <w:rsid w:val="00B446C7"/>
    <w:rsid w:val="00B45D0F"/>
    <w:rsid w:val="00B55DC3"/>
    <w:rsid w:val="00B56F60"/>
    <w:rsid w:val="00B7102A"/>
    <w:rsid w:val="00B716B5"/>
    <w:rsid w:val="00B74F54"/>
    <w:rsid w:val="00B866A2"/>
    <w:rsid w:val="00B86D9C"/>
    <w:rsid w:val="00B86F9E"/>
    <w:rsid w:val="00B93E2C"/>
    <w:rsid w:val="00B95EC8"/>
    <w:rsid w:val="00B96E74"/>
    <w:rsid w:val="00BA0FE4"/>
    <w:rsid w:val="00BA4812"/>
    <w:rsid w:val="00BA6EE6"/>
    <w:rsid w:val="00BC1D4A"/>
    <w:rsid w:val="00BC59C9"/>
    <w:rsid w:val="00BD1D8C"/>
    <w:rsid w:val="00BD26CB"/>
    <w:rsid w:val="00BE3E8F"/>
    <w:rsid w:val="00BF1F82"/>
    <w:rsid w:val="00BF2AFF"/>
    <w:rsid w:val="00BF44A9"/>
    <w:rsid w:val="00C11242"/>
    <w:rsid w:val="00C13A2E"/>
    <w:rsid w:val="00C156D5"/>
    <w:rsid w:val="00C1578D"/>
    <w:rsid w:val="00C1750E"/>
    <w:rsid w:val="00C30562"/>
    <w:rsid w:val="00C319A5"/>
    <w:rsid w:val="00C3382C"/>
    <w:rsid w:val="00C33832"/>
    <w:rsid w:val="00C34B9E"/>
    <w:rsid w:val="00C3794A"/>
    <w:rsid w:val="00C37D10"/>
    <w:rsid w:val="00C722F0"/>
    <w:rsid w:val="00C84744"/>
    <w:rsid w:val="00C86BA6"/>
    <w:rsid w:val="00C914F6"/>
    <w:rsid w:val="00C91A75"/>
    <w:rsid w:val="00CA30AA"/>
    <w:rsid w:val="00CB519A"/>
    <w:rsid w:val="00CB563D"/>
    <w:rsid w:val="00CC0369"/>
    <w:rsid w:val="00CC1EC8"/>
    <w:rsid w:val="00CC30FF"/>
    <w:rsid w:val="00CD54AD"/>
    <w:rsid w:val="00CE1A8B"/>
    <w:rsid w:val="00CE2178"/>
    <w:rsid w:val="00CE471A"/>
    <w:rsid w:val="00CE5772"/>
    <w:rsid w:val="00CE74BF"/>
    <w:rsid w:val="00D00BAE"/>
    <w:rsid w:val="00D1198D"/>
    <w:rsid w:val="00D11F6C"/>
    <w:rsid w:val="00D1387E"/>
    <w:rsid w:val="00D15898"/>
    <w:rsid w:val="00D1597E"/>
    <w:rsid w:val="00D15ED9"/>
    <w:rsid w:val="00D26C0C"/>
    <w:rsid w:val="00D320A0"/>
    <w:rsid w:val="00D3280C"/>
    <w:rsid w:val="00D3286E"/>
    <w:rsid w:val="00D40599"/>
    <w:rsid w:val="00D626E7"/>
    <w:rsid w:val="00D63F1C"/>
    <w:rsid w:val="00D64050"/>
    <w:rsid w:val="00D659CF"/>
    <w:rsid w:val="00D71CD6"/>
    <w:rsid w:val="00D75478"/>
    <w:rsid w:val="00D8288B"/>
    <w:rsid w:val="00D902B3"/>
    <w:rsid w:val="00D90B1D"/>
    <w:rsid w:val="00DA1AEB"/>
    <w:rsid w:val="00DA7F1F"/>
    <w:rsid w:val="00DC5A1A"/>
    <w:rsid w:val="00DC78E5"/>
    <w:rsid w:val="00DD00EE"/>
    <w:rsid w:val="00DD3949"/>
    <w:rsid w:val="00DD4261"/>
    <w:rsid w:val="00DD7065"/>
    <w:rsid w:val="00DE0508"/>
    <w:rsid w:val="00DE6F9D"/>
    <w:rsid w:val="00DF294A"/>
    <w:rsid w:val="00DF2F2D"/>
    <w:rsid w:val="00E01AF9"/>
    <w:rsid w:val="00E0204F"/>
    <w:rsid w:val="00E050E3"/>
    <w:rsid w:val="00E10213"/>
    <w:rsid w:val="00E12FDE"/>
    <w:rsid w:val="00E24E92"/>
    <w:rsid w:val="00E2672B"/>
    <w:rsid w:val="00E272DA"/>
    <w:rsid w:val="00E348EB"/>
    <w:rsid w:val="00E36836"/>
    <w:rsid w:val="00E44714"/>
    <w:rsid w:val="00E47715"/>
    <w:rsid w:val="00E55469"/>
    <w:rsid w:val="00E569FA"/>
    <w:rsid w:val="00E60047"/>
    <w:rsid w:val="00E61046"/>
    <w:rsid w:val="00E61914"/>
    <w:rsid w:val="00E64C39"/>
    <w:rsid w:val="00E67891"/>
    <w:rsid w:val="00E76C80"/>
    <w:rsid w:val="00E84CEF"/>
    <w:rsid w:val="00EA0134"/>
    <w:rsid w:val="00EA4C00"/>
    <w:rsid w:val="00EA5F69"/>
    <w:rsid w:val="00EB5934"/>
    <w:rsid w:val="00EB6316"/>
    <w:rsid w:val="00EC11E7"/>
    <w:rsid w:val="00EC3423"/>
    <w:rsid w:val="00EC4C4A"/>
    <w:rsid w:val="00EC60D0"/>
    <w:rsid w:val="00EC7484"/>
    <w:rsid w:val="00ED1B2E"/>
    <w:rsid w:val="00ED58B3"/>
    <w:rsid w:val="00ED5E24"/>
    <w:rsid w:val="00ED6FBE"/>
    <w:rsid w:val="00EE5E53"/>
    <w:rsid w:val="00EF0FDD"/>
    <w:rsid w:val="00EF16AA"/>
    <w:rsid w:val="00EF65B1"/>
    <w:rsid w:val="00EF6A30"/>
    <w:rsid w:val="00F05EEA"/>
    <w:rsid w:val="00F0623E"/>
    <w:rsid w:val="00F10828"/>
    <w:rsid w:val="00F11D82"/>
    <w:rsid w:val="00F127C1"/>
    <w:rsid w:val="00F154CD"/>
    <w:rsid w:val="00F32070"/>
    <w:rsid w:val="00F34B6B"/>
    <w:rsid w:val="00F362FE"/>
    <w:rsid w:val="00F37880"/>
    <w:rsid w:val="00F401A0"/>
    <w:rsid w:val="00F41F26"/>
    <w:rsid w:val="00F41F95"/>
    <w:rsid w:val="00F42811"/>
    <w:rsid w:val="00F45E05"/>
    <w:rsid w:val="00F55187"/>
    <w:rsid w:val="00F57F92"/>
    <w:rsid w:val="00F63427"/>
    <w:rsid w:val="00F64BD9"/>
    <w:rsid w:val="00F742E2"/>
    <w:rsid w:val="00F83903"/>
    <w:rsid w:val="00F935FC"/>
    <w:rsid w:val="00FA364F"/>
    <w:rsid w:val="00FB4FBB"/>
    <w:rsid w:val="00FC1DDE"/>
    <w:rsid w:val="00FC2078"/>
    <w:rsid w:val="00FC2905"/>
    <w:rsid w:val="00FC73FF"/>
    <w:rsid w:val="00FD3AE8"/>
    <w:rsid w:val="00FD47D2"/>
    <w:rsid w:val="00FD4D60"/>
    <w:rsid w:val="00FD7EE2"/>
    <w:rsid w:val="00FE6CCB"/>
    <w:rsid w:val="00FF3232"/>
    <w:rsid w:val="00FF3E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B5B11A2"/>
  <w15:docId w15:val="{84916CEF-6BEC-44F0-8AB5-7F3793E68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D90B1D"/>
    <w:pPr>
      <w:widowControl w:val="0"/>
      <w:suppressAutoHyphens/>
      <w:autoSpaceDE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D90B1D"/>
    <w:rPr>
      <w:rFonts w:ascii="Symbol" w:hAnsi="Symbol" w:cs="Symbol"/>
    </w:rPr>
  </w:style>
  <w:style w:type="character" w:customStyle="1" w:styleId="WW8Num1z2">
    <w:name w:val="WW8Num1z2"/>
    <w:rsid w:val="00D90B1D"/>
    <w:rPr>
      <w:rFonts w:ascii="Courier New" w:hAnsi="Courier New" w:cs="Courier New"/>
    </w:rPr>
  </w:style>
  <w:style w:type="character" w:customStyle="1" w:styleId="WW8Num1z3">
    <w:name w:val="WW8Num1z3"/>
    <w:rsid w:val="00D90B1D"/>
    <w:rPr>
      <w:rFonts w:ascii="Wingdings" w:hAnsi="Wingdings" w:cs="Wingdings"/>
    </w:rPr>
  </w:style>
  <w:style w:type="character" w:customStyle="1" w:styleId="Absatzstandardschriftart2">
    <w:name w:val="Absatzstandardschriftart2"/>
    <w:rsid w:val="00D90B1D"/>
  </w:style>
  <w:style w:type="character" w:customStyle="1" w:styleId="WW8Num1z1">
    <w:name w:val="WW8Num1z1"/>
    <w:rsid w:val="00D90B1D"/>
  </w:style>
  <w:style w:type="character" w:customStyle="1" w:styleId="WW8Num1z4">
    <w:name w:val="WW8Num1z4"/>
    <w:rsid w:val="00D90B1D"/>
  </w:style>
  <w:style w:type="character" w:customStyle="1" w:styleId="WW8Num1z5">
    <w:name w:val="WW8Num1z5"/>
    <w:rsid w:val="00D90B1D"/>
  </w:style>
  <w:style w:type="character" w:customStyle="1" w:styleId="WW8Num1z6">
    <w:name w:val="WW8Num1z6"/>
    <w:rsid w:val="00D90B1D"/>
  </w:style>
  <w:style w:type="character" w:customStyle="1" w:styleId="WW8Num1z7">
    <w:name w:val="WW8Num1z7"/>
    <w:rsid w:val="00D90B1D"/>
  </w:style>
  <w:style w:type="character" w:customStyle="1" w:styleId="WW8Num1z8">
    <w:name w:val="WW8Num1z8"/>
    <w:rsid w:val="00D90B1D"/>
  </w:style>
  <w:style w:type="character" w:customStyle="1" w:styleId="WW8Num2z0">
    <w:name w:val="WW8Num2z0"/>
    <w:rsid w:val="00D90B1D"/>
  </w:style>
  <w:style w:type="character" w:customStyle="1" w:styleId="WW8Num2z1">
    <w:name w:val="WW8Num2z1"/>
    <w:rsid w:val="00D90B1D"/>
  </w:style>
  <w:style w:type="character" w:customStyle="1" w:styleId="WW8Num2z2">
    <w:name w:val="WW8Num2z2"/>
    <w:rsid w:val="00D90B1D"/>
  </w:style>
  <w:style w:type="character" w:customStyle="1" w:styleId="WW8Num2z3">
    <w:name w:val="WW8Num2z3"/>
    <w:rsid w:val="00D90B1D"/>
  </w:style>
  <w:style w:type="character" w:customStyle="1" w:styleId="WW8Num2z4">
    <w:name w:val="WW8Num2z4"/>
    <w:rsid w:val="00D90B1D"/>
  </w:style>
  <w:style w:type="character" w:customStyle="1" w:styleId="WW8Num2z5">
    <w:name w:val="WW8Num2z5"/>
    <w:rsid w:val="00D90B1D"/>
  </w:style>
  <w:style w:type="character" w:customStyle="1" w:styleId="WW8Num2z6">
    <w:name w:val="WW8Num2z6"/>
    <w:rsid w:val="00D90B1D"/>
  </w:style>
  <w:style w:type="character" w:customStyle="1" w:styleId="WW8Num2z7">
    <w:name w:val="WW8Num2z7"/>
    <w:rsid w:val="00D90B1D"/>
  </w:style>
  <w:style w:type="character" w:customStyle="1" w:styleId="WW8Num2z8">
    <w:name w:val="WW8Num2z8"/>
    <w:rsid w:val="00D90B1D"/>
  </w:style>
  <w:style w:type="character" w:customStyle="1" w:styleId="Absatz-Standardschriftart2">
    <w:name w:val="Absatz-Standardschriftart2"/>
    <w:rsid w:val="00D90B1D"/>
  </w:style>
  <w:style w:type="character" w:customStyle="1" w:styleId="Absatz-Standardschriftart1">
    <w:name w:val="Absatz-Standardschriftart1"/>
    <w:rsid w:val="00D90B1D"/>
  </w:style>
  <w:style w:type="character" w:customStyle="1" w:styleId="WW8Num3z0">
    <w:name w:val="WW8Num3z0"/>
    <w:rsid w:val="00D90B1D"/>
  </w:style>
  <w:style w:type="character" w:customStyle="1" w:styleId="WW8Num3z1">
    <w:name w:val="WW8Num3z1"/>
    <w:rsid w:val="00D90B1D"/>
    <w:rPr>
      <w:rFonts w:ascii="Courier New" w:hAnsi="Courier New" w:cs="Courier New"/>
    </w:rPr>
  </w:style>
  <w:style w:type="character" w:customStyle="1" w:styleId="WW8Num3z2">
    <w:name w:val="WW8Num3z2"/>
    <w:rsid w:val="00D90B1D"/>
    <w:rPr>
      <w:rFonts w:ascii="Wingdings" w:hAnsi="Wingdings" w:cs="Wingdings"/>
    </w:rPr>
  </w:style>
  <w:style w:type="character" w:customStyle="1" w:styleId="WW8Num3z3">
    <w:name w:val="WW8Num3z3"/>
    <w:rsid w:val="00D90B1D"/>
    <w:rPr>
      <w:rFonts w:ascii="Symbol" w:hAnsi="Symbol" w:cs="Symbol"/>
    </w:rPr>
  </w:style>
  <w:style w:type="character" w:customStyle="1" w:styleId="WW8Num4z0">
    <w:name w:val="WW8Num4z0"/>
    <w:rsid w:val="00D90B1D"/>
    <w:rPr>
      <w:rFonts w:cs="Times New Roman"/>
    </w:rPr>
  </w:style>
  <w:style w:type="character" w:customStyle="1" w:styleId="WW8Num5z0">
    <w:name w:val="WW8Num5z0"/>
    <w:rsid w:val="00D90B1D"/>
    <w:rPr>
      <w:rFonts w:ascii="Wingdings" w:hAnsi="Wingdings" w:cs="Wingdings"/>
    </w:rPr>
  </w:style>
  <w:style w:type="character" w:customStyle="1" w:styleId="WW8Num6z0">
    <w:name w:val="WW8Num6z0"/>
    <w:rsid w:val="00D90B1D"/>
  </w:style>
  <w:style w:type="character" w:customStyle="1" w:styleId="WW8Num6z1">
    <w:name w:val="WW8Num6z1"/>
    <w:rsid w:val="00D90B1D"/>
  </w:style>
  <w:style w:type="character" w:customStyle="1" w:styleId="WW8Num6z2">
    <w:name w:val="WW8Num6z2"/>
    <w:rsid w:val="00D90B1D"/>
  </w:style>
  <w:style w:type="character" w:customStyle="1" w:styleId="WW8Num6z3">
    <w:name w:val="WW8Num6z3"/>
    <w:rsid w:val="00D90B1D"/>
  </w:style>
  <w:style w:type="character" w:customStyle="1" w:styleId="WW8Num6z4">
    <w:name w:val="WW8Num6z4"/>
    <w:rsid w:val="00D90B1D"/>
  </w:style>
  <w:style w:type="character" w:customStyle="1" w:styleId="WW8Num6z5">
    <w:name w:val="WW8Num6z5"/>
    <w:rsid w:val="00D90B1D"/>
  </w:style>
  <w:style w:type="character" w:customStyle="1" w:styleId="WW8Num6z6">
    <w:name w:val="WW8Num6z6"/>
    <w:rsid w:val="00D90B1D"/>
  </w:style>
  <w:style w:type="character" w:customStyle="1" w:styleId="WW8Num6z7">
    <w:name w:val="WW8Num6z7"/>
    <w:rsid w:val="00D90B1D"/>
  </w:style>
  <w:style w:type="character" w:customStyle="1" w:styleId="WW8Num6z8">
    <w:name w:val="WW8Num6z8"/>
    <w:rsid w:val="00D90B1D"/>
  </w:style>
  <w:style w:type="character" w:customStyle="1" w:styleId="Absatzstandardschriftart1">
    <w:name w:val="Absatzstandardschriftart1"/>
    <w:rsid w:val="00D90B1D"/>
  </w:style>
  <w:style w:type="character" w:customStyle="1" w:styleId="SprechblasentextZeichen">
    <w:name w:val="Sprechblasentext Zeichen"/>
    <w:rsid w:val="00D90B1D"/>
  </w:style>
  <w:style w:type="character" w:customStyle="1" w:styleId="Kommentarzeichen1">
    <w:name w:val="Kommentarzeichen1"/>
    <w:rsid w:val="00D90B1D"/>
    <w:rPr>
      <w:sz w:val="18"/>
      <w:szCs w:val="18"/>
    </w:rPr>
  </w:style>
  <w:style w:type="character" w:customStyle="1" w:styleId="KommentartextZeichen">
    <w:name w:val="Kommentartext Zeichen"/>
    <w:rsid w:val="00D90B1D"/>
  </w:style>
  <w:style w:type="character" w:customStyle="1" w:styleId="KommentarthemaZeichen">
    <w:name w:val="Kommentarthema Zeichen"/>
    <w:rsid w:val="00D90B1D"/>
  </w:style>
  <w:style w:type="character" w:customStyle="1" w:styleId="DatumZeichen">
    <w:name w:val="Datum Zeichen"/>
    <w:rsid w:val="00D90B1D"/>
  </w:style>
  <w:style w:type="character" w:customStyle="1" w:styleId="FuzeileZeichen">
    <w:name w:val="Fußzeile Zeichen"/>
    <w:rsid w:val="00D90B1D"/>
  </w:style>
  <w:style w:type="character" w:styleId="Hyperlink">
    <w:name w:val="Hyperlink"/>
    <w:rsid w:val="00D90B1D"/>
  </w:style>
  <w:style w:type="character" w:customStyle="1" w:styleId="Kommentarzeichen2">
    <w:name w:val="Kommentarzeichen2"/>
    <w:rsid w:val="00D90B1D"/>
    <w:rPr>
      <w:sz w:val="16"/>
      <w:szCs w:val="16"/>
    </w:rPr>
  </w:style>
  <w:style w:type="character" w:customStyle="1" w:styleId="KommentartextZchn">
    <w:name w:val="Kommentartext Zchn"/>
    <w:basedOn w:val="Absatz-Standardschriftart1"/>
    <w:rsid w:val="00D90B1D"/>
  </w:style>
  <w:style w:type="character" w:customStyle="1" w:styleId="Nummerierungszeichen">
    <w:name w:val="Nummerierungszeichen"/>
    <w:rsid w:val="00D90B1D"/>
  </w:style>
  <w:style w:type="paragraph" w:customStyle="1" w:styleId="berschrift">
    <w:name w:val="Überschrift"/>
    <w:basedOn w:val="Standard"/>
    <w:next w:val="Textkrper"/>
    <w:rsid w:val="00D90B1D"/>
    <w:pPr>
      <w:keepNext/>
      <w:spacing w:before="240" w:after="120"/>
    </w:pPr>
  </w:style>
  <w:style w:type="paragraph" w:styleId="Textkrper">
    <w:name w:val="Body Text"/>
    <w:basedOn w:val="Standard"/>
    <w:rsid w:val="00D90B1D"/>
    <w:pPr>
      <w:spacing w:after="120"/>
    </w:pPr>
  </w:style>
  <w:style w:type="paragraph" w:styleId="Liste">
    <w:name w:val="List"/>
    <w:basedOn w:val="Textkrper"/>
    <w:rsid w:val="00D90B1D"/>
    <w:rPr>
      <w:rFonts w:ascii="Arial" w:hAnsi="Arial" w:cs="Mangal"/>
    </w:rPr>
  </w:style>
  <w:style w:type="paragraph" w:styleId="Beschriftung">
    <w:name w:val="caption"/>
    <w:basedOn w:val="Standard"/>
    <w:qFormat/>
    <w:rsid w:val="00D90B1D"/>
    <w:pPr>
      <w:suppressLineNumbers/>
      <w:spacing w:before="120" w:after="120"/>
    </w:pPr>
  </w:style>
  <w:style w:type="paragraph" w:customStyle="1" w:styleId="Verzeichnis">
    <w:name w:val="Verzeichnis"/>
    <w:basedOn w:val="Standard"/>
    <w:rsid w:val="00D90B1D"/>
    <w:pPr>
      <w:suppressLineNumbers/>
    </w:pPr>
    <w:rPr>
      <w:rFonts w:ascii="Arial" w:hAnsi="Arial" w:cs="Mangal"/>
    </w:rPr>
  </w:style>
  <w:style w:type="paragraph" w:styleId="Kopfzeile">
    <w:name w:val="header"/>
    <w:basedOn w:val="Standard"/>
    <w:rsid w:val="00D90B1D"/>
    <w:pPr>
      <w:snapToGrid w:val="0"/>
    </w:pPr>
  </w:style>
  <w:style w:type="paragraph" w:styleId="Fuzeile">
    <w:name w:val="footer"/>
    <w:basedOn w:val="Standard"/>
    <w:rsid w:val="00D90B1D"/>
    <w:pPr>
      <w:snapToGrid w:val="0"/>
    </w:pPr>
  </w:style>
  <w:style w:type="paragraph" w:styleId="Sprechblasentext">
    <w:name w:val="Balloon Text"/>
    <w:basedOn w:val="Standard"/>
    <w:rsid w:val="00D90B1D"/>
  </w:style>
  <w:style w:type="paragraph" w:customStyle="1" w:styleId="Kommentartext1">
    <w:name w:val="Kommentartext1"/>
    <w:basedOn w:val="Standard"/>
    <w:rsid w:val="00D90B1D"/>
    <w:pPr>
      <w:jc w:val="left"/>
    </w:pPr>
  </w:style>
  <w:style w:type="paragraph" w:styleId="Kommentarthema">
    <w:name w:val="annotation subject"/>
    <w:basedOn w:val="Kommentartext1"/>
    <w:next w:val="Kommentartext1"/>
    <w:rsid w:val="00D90B1D"/>
    <w:rPr>
      <w:b/>
      <w:bCs/>
    </w:rPr>
  </w:style>
  <w:style w:type="paragraph" w:customStyle="1" w:styleId="Datum1">
    <w:name w:val="Datum1"/>
    <w:basedOn w:val="Standard"/>
    <w:next w:val="Standard"/>
    <w:rsid w:val="00D90B1D"/>
  </w:style>
  <w:style w:type="paragraph" w:customStyle="1" w:styleId="TabellenInhalt">
    <w:name w:val="Tabellen Inhalt"/>
    <w:basedOn w:val="Standard"/>
    <w:rsid w:val="00D90B1D"/>
    <w:pPr>
      <w:suppressLineNumbers/>
    </w:pPr>
  </w:style>
  <w:style w:type="paragraph" w:customStyle="1" w:styleId="Tabellenberschrift">
    <w:name w:val="Tabellen Überschrift"/>
    <w:basedOn w:val="TabellenInhalt"/>
    <w:rsid w:val="00D90B1D"/>
    <w:pPr>
      <w:jc w:val="center"/>
    </w:pPr>
    <w:rPr>
      <w:b/>
      <w:bCs/>
    </w:rPr>
  </w:style>
  <w:style w:type="paragraph" w:customStyle="1" w:styleId="Kommentartext2">
    <w:name w:val="Kommentartext2"/>
    <w:basedOn w:val="Standard"/>
    <w:rsid w:val="00D90B1D"/>
  </w:style>
  <w:style w:type="table" w:customStyle="1" w:styleId="Tabellenraster1">
    <w:name w:val="Tabellenraster1"/>
    <w:basedOn w:val="NormaleTabelle"/>
    <w:uiPriority w:val="59"/>
    <w:rsid w:val="008A3A9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basedOn w:val="Standard"/>
    <w:rsid w:val="006740DE"/>
    <w:pPr>
      <w:widowControl/>
      <w:suppressAutoHyphens w:val="0"/>
      <w:autoSpaceDN w:val="0"/>
      <w:jc w:val="left"/>
    </w:pPr>
    <w:rPr>
      <w:rFonts w:ascii="Arial" w:eastAsia="Calibri" w:hAnsi="Arial" w:cs="Arial"/>
      <w:color w:val="000000"/>
      <w:sz w:val="24"/>
      <w:szCs w:val="24"/>
    </w:rPr>
  </w:style>
  <w:style w:type="character" w:styleId="Hervorhebung">
    <w:name w:val="Emphasis"/>
    <w:basedOn w:val="Absatz-Standardschriftart"/>
    <w:uiPriority w:val="20"/>
    <w:qFormat/>
    <w:rsid w:val="00B45D0F"/>
    <w:rPr>
      <w:b/>
      <w:bCs/>
      <w:i w:val="0"/>
      <w:iCs w:val="0"/>
    </w:rPr>
  </w:style>
  <w:style w:type="character" w:customStyle="1" w:styleId="st1">
    <w:name w:val="st1"/>
    <w:basedOn w:val="Absatz-Standardschriftart"/>
    <w:rsid w:val="00B45D0F"/>
  </w:style>
  <w:style w:type="character" w:styleId="Fett">
    <w:name w:val="Strong"/>
    <w:basedOn w:val="Absatz-Standardschriftart"/>
    <w:uiPriority w:val="22"/>
    <w:qFormat/>
    <w:rsid w:val="005356FB"/>
    <w:rPr>
      <w:b/>
      <w:bCs/>
    </w:rPr>
  </w:style>
  <w:style w:type="character" w:customStyle="1" w:styleId="hps">
    <w:name w:val="hps"/>
    <w:basedOn w:val="Absatz-Standardschriftart"/>
    <w:rsid w:val="00FC2905"/>
  </w:style>
  <w:style w:type="table" w:styleId="Tabellenraster">
    <w:name w:val="Table Grid"/>
    <w:aliases w:val="table general,_0Table Grid"/>
    <w:basedOn w:val="NormaleTabelle"/>
    <w:rsid w:val="001761C2"/>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urText">
    <w:name w:val="Plain Text"/>
    <w:basedOn w:val="Standard"/>
    <w:link w:val="NurTextZchn"/>
    <w:uiPriority w:val="99"/>
    <w:semiHidden/>
    <w:unhideWhenUsed/>
    <w:rsid w:val="003F002E"/>
    <w:pPr>
      <w:widowControl/>
      <w:suppressAutoHyphens w:val="0"/>
      <w:autoSpaceDE/>
      <w:jc w:val="left"/>
    </w:pPr>
    <w:rPr>
      <w:rFonts w:ascii="Calibri" w:eastAsiaTheme="minorHAnsi" w:hAnsi="Calibri"/>
      <w:sz w:val="22"/>
      <w:szCs w:val="22"/>
    </w:rPr>
  </w:style>
  <w:style w:type="character" w:customStyle="1" w:styleId="NurTextZchn">
    <w:name w:val="Nur Text Zchn"/>
    <w:basedOn w:val="Absatz-Standardschriftart"/>
    <w:link w:val="NurText"/>
    <w:uiPriority w:val="99"/>
    <w:semiHidden/>
    <w:rsid w:val="003F002E"/>
    <w:rPr>
      <w:rFonts w:ascii="Calibri" w:eastAsiaTheme="minorHAnsi" w:hAnsi="Calibri"/>
      <w:sz w:val="22"/>
      <w:szCs w:val="22"/>
      <w:lang w:eastAsia="es-ES"/>
    </w:rPr>
  </w:style>
  <w:style w:type="character" w:styleId="Kommentarzeichen">
    <w:name w:val="annotation reference"/>
    <w:basedOn w:val="Absatz-Standardschriftart"/>
    <w:uiPriority w:val="99"/>
    <w:semiHidden/>
    <w:unhideWhenUsed/>
    <w:rsid w:val="008341A2"/>
    <w:rPr>
      <w:sz w:val="16"/>
      <w:szCs w:val="16"/>
    </w:rPr>
  </w:style>
  <w:style w:type="paragraph" w:styleId="Kommentartext">
    <w:name w:val="annotation text"/>
    <w:basedOn w:val="Standard"/>
    <w:link w:val="KommentartextZchn1"/>
    <w:uiPriority w:val="99"/>
    <w:semiHidden/>
    <w:unhideWhenUsed/>
    <w:rsid w:val="008341A2"/>
  </w:style>
  <w:style w:type="character" w:customStyle="1" w:styleId="KommentartextZchn1">
    <w:name w:val="Kommentartext Zchn1"/>
    <w:basedOn w:val="Absatz-Standardschriftart"/>
    <w:link w:val="Kommentartext"/>
    <w:uiPriority w:val="99"/>
    <w:semiHidden/>
    <w:rsid w:val="008341A2"/>
  </w:style>
  <w:style w:type="paragraph" w:styleId="berarbeitung">
    <w:name w:val="Revision"/>
    <w:hidden/>
    <w:uiPriority w:val="71"/>
    <w:rsid w:val="00E0204F"/>
  </w:style>
  <w:style w:type="paragraph" w:styleId="Listenabsatz">
    <w:name w:val="List Paragraph"/>
    <w:basedOn w:val="Standard"/>
    <w:uiPriority w:val="72"/>
    <w:qFormat/>
    <w:rsid w:val="00CE1A8B"/>
    <w:pPr>
      <w:ind w:left="720"/>
      <w:contextualSpacing/>
    </w:pPr>
  </w:style>
  <w:style w:type="character" w:customStyle="1" w:styleId="copyA4V">
    <w:name w:val="copy (A4 V)"/>
    <w:uiPriority w:val="99"/>
    <w:rsid w:val="00D15ED9"/>
    <w:rPr>
      <w:rFonts w:ascii="Helvetica" w:hAnsi="Helvetica" w:cs="Helvetica" w:hint="defaul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30061">
      <w:bodyDiv w:val="1"/>
      <w:marLeft w:val="0"/>
      <w:marRight w:val="0"/>
      <w:marTop w:val="0"/>
      <w:marBottom w:val="0"/>
      <w:divBdr>
        <w:top w:val="none" w:sz="0" w:space="0" w:color="auto"/>
        <w:left w:val="none" w:sz="0" w:space="0" w:color="auto"/>
        <w:bottom w:val="none" w:sz="0" w:space="0" w:color="auto"/>
        <w:right w:val="none" w:sz="0" w:space="0" w:color="auto"/>
      </w:divBdr>
    </w:div>
    <w:div w:id="194119522">
      <w:bodyDiv w:val="1"/>
      <w:marLeft w:val="0"/>
      <w:marRight w:val="0"/>
      <w:marTop w:val="0"/>
      <w:marBottom w:val="0"/>
      <w:divBdr>
        <w:top w:val="none" w:sz="0" w:space="0" w:color="auto"/>
        <w:left w:val="none" w:sz="0" w:space="0" w:color="auto"/>
        <w:bottom w:val="none" w:sz="0" w:space="0" w:color="auto"/>
        <w:right w:val="none" w:sz="0" w:space="0" w:color="auto"/>
      </w:divBdr>
      <w:divsChild>
        <w:div w:id="513031897">
          <w:marLeft w:val="0"/>
          <w:marRight w:val="0"/>
          <w:marTop w:val="0"/>
          <w:marBottom w:val="0"/>
          <w:divBdr>
            <w:top w:val="none" w:sz="0" w:space="0" w:color="auto"/>
            <w:left w:val="none" w:sz="0" w:space="0" w:color="auto"/>
            <w:bottom w:val="none" w:sz="0" w:space="0" w:color="auto"/>
            <w:right w:val="none" w:sz="0" w:space="0" w:color="auto"/>
          </w:divBdr>
        </w:div>
        <w:div w:id="938827246">
          <w:marLeft w:val="0"/>
          <w:marRight w:val="0"/>
          <w:marTop w:val="0"/>
          <w:marBottom w:val="0"/>
          <w:divBdr>
            <w:top w:val="none" w:sz="0" w:space="0" w:color="auto"/>
            <w:left w:val="none" w:sz="0" w:space="0" w:color="auto"/>
            <w:bottom w:val="none" w:sz="0" w:space="0" w:color="auto"/>
            <w:right w:val="none" w:sz="0" w:space="0" w:color="auto"/>
          </w:divBdr>
        </w:div>
      </w:divsChild>
    </w:div>
    <w:div w:id="205794887">
      <w:bodyDiv w:val="1"/>
      <w:marLeft w:val="0"/>
      <w:marRight w:val="0"/>
      <w:marTop w:val="0"/>
      <w:marBottom w:val="0"/>
      <w:divBdr>
        <w:top w:val="none" w:sz="0" w:space="0" w:color="auto"/>
        <w:left w:val="none" w:sz="0" w:space="0" w:color="auto"/>
        <w:bottom w:val="none" w:sz="0" w:space="0" w:color="auto"/>
        <w:right w:val="none" w:sz="0" w:space="0" w:color="auto"/>
      </w:divBdr>
    </w:div>
    <w:div w:id="581453041">
      <w:bodyDiv w:val="1"/>
      <w:marLeft w:val="0"/>
      <w:marRight w:val="0"/>
      <w:marTop w:val="0"/>
      <w:marBottom w:val="0"/>
      <w:divBdr>
        <w:top w:val="none" w:sz="0" w:space="0" w:color="auto"/>
        <w:left w:val="none" w:sz="0" w:space="0" w:color="auto"/>
        <w:bottom w:val="none" w:sz="0" w:space="0" w:color="auto"/>
        <w:right w:val="none" w:sz="0" w:space="0" w:color="auto"/>
      </w:divBdr>
    </w:div>
    <w:div w:id="655958715">
      <w:bodyDiv w:val="1"/>
      <w:marLeft w:val="0"/>
      <w:marRight w:val="0"/>
      <w:marTop w:val="0"/>
      <w:marBottom w:val="0"/>
      <w:divBdr>
        <w:top w:val="none" w:sz="0" w:space="0" w:color="auto"/>
        <w:left w:val="none" w:sz="0" w:space="0" w:color="auto"/>
        <w:bottom w:val="none" w:sz="0" w:space="0" w:color="auto"/>
        <w:right w:val="none" w:sz="0" w:space="0" w:color="auto"/>
      </w:divBdr>
    </w:div>
    <w:div w:id="759957222">
      <w:bodyDiv w:val="1"/>
      <w:marLeft w:val="0"/>
      <w:marRight w:val="0"/>
      <w:marTop w:val="0"/>
      <w:marBottom w:val="0"/>
      <w:divBdr>
        <w:top w:val="none" w:sz="0" w:space="0" w:color="auto"/>
        <w:left w:val="none" w:sz="0" w:space="0" w:color="auto"/>
        <w:bottom w:val="none" w:sz="0" w:space="0" w:color="auto"/>
        <w:right w:val="none" w:sz="0" w:space="0" w:color="auto"/>
      </w:divBdr>
      <w:divsChild>
        <w:div w:id="463498471">
          <w:marLeft w:val="0"/>
          <w:marRight w:val="0"/>
          <w:marTop w:val="0"/>
          <w:marBottom w:val="0"/>
          <w:divBdr>
            <w:top w:val="none" w:sz="0" w:space="0" w:color="auto"/>
            <w:left w:val="none" w:sz="0" w:space="0" w:color="auto"/>
            <w:bottom w:val="none" w:sz="0" w:space="0" w:color="auto"/>
            <w:right w:val="none" w:sz="0" w:space="0" w:color="auto"/>
          </w:divBdr>
        </w:div>
        <w:div w:id="2064938637">
          <w:marLeft w:val="0"/>
          <w:marRight w:val="0"/>
          <w:marTop w:val="0"/>
          <w:marBottom w:val="0"/>
          <w:divBdr>
            <w:top w:val="none" w:sz="0" w:space="0" w:color="auto"/>
            <w:left w:val="none" w:sz="0" w:space="0" w:color="auto"/>
            <w:bottom w:val="none" w:sz="0" w:space="0" w:color="auto"/>
            <w:right w:val="none" w:sz="0" w:space="0" w:color="auto"/>
          </w:divBdr>
        </w:div>
      </w:divsChild>
    </w:div>
    <w:div w:id="1104544132">
      <w:bodyDiv w:val="1"/>
      <w:marLeft w:val="0"/>
      <w:marRight w:val="0"/>
      <w:marTop w:val="0"/>
      <w:marBottom w:val="0"/>
      <w:divBdr>
        <w:top w:val="none" w:sz="0" w:space="0" w:color="auto"/>
        <w:left w:val="none" w:sz="0" w:space="0" w:color="auto"/>
        <w:bottom w:val="none" w:sz="0" w:space="0" w:color="auto"/>
        <w:right w:val="none" w:sz="0" w:space="0" w:color="auto"/>
      </w:divBdr>
    </w:div>
    <w:div w:id="1238444044">
      <w:bodyDiv w:val="1"/>
      <w:marLeft w:val="0"/>
      <w:marRight w:val="0"/>
      <w:marTop w:val="0"/>
      <w:marBottom w:val="0"/>
      <w:divBdr>
        <w:top w:val="none" w:sz="0" w:space="0" w:color="auto"/>
        <w:left w:val="none" w:sz="0" w:space="0" w:color="auto"/>
        <w:bottom w:val="none" w:sz="0" w:space="0" w:color="auto"/>
        <w:right w:val="none" w:sz="0" w:space="0" w:color="auto"/>
      </w:divBdr>
    </w:div>
    <w:div w:id="1282221169">
      <w:bodyDiv w:val="1"/>
      <w:marLeft w:val="0"/>
      <w:marRight w:val="0"/>
      <w:marTop w:val="0"/>
      <w:marBottom w:val="0"/>
      <w:divBdr>
        <w:top w:val="none" w:sz="0" w:space="0" w:color="auto"/>
        <w:left w:val="none" w:sz="0" w:space="0" w:color="auto"/>
        <w:bottom w:val="none" w:sz="0" w:space="0" w:color="auto"/>
        <w:right w:val="none" w:sz="0" w:space="0" w:color="auto"/>
      </w:divBdr>
    </w:div>
    <w:div w:id="1329285202">
      <w:bodyDiv w:val="1"/>
      <w:marLeft w:val="0"/>
      <w:marRight w:val="0"/>
      <w:marTop w:val="0"/>
      <w:marBottom w:val="0"/>
      <w:divBdr>
        <w:top w:val="none" w:sz="0" w:space="0" w:color="auto"/>
        <w:left w:val="none" w:sz="0" w:space="0" w:color="auto"/>
        <w:bottom w:val="none" w:sz="0" w:space="0" w:color="auto"/>
        <w:right w:val="none" w:sz="0" w:space="0" w:color="auto"/>
      </w:divBdr>
    </w:div>
    <w:div w:id="1404372818">
      <w:bodyDiv w:val="1"/>
      <w:marLeft w:val="0"/>
      <w:marRight w:val="0"/>
      <w:marTop w:val="0"/>
      <w:marBottom w:val="0"/>
      <w:divBdr>
        <w:top w:val="none" w:sz="0" w:space="0" w:color="auto"/>
        <w:left w:val="none" w:sz="0" w:space="0" w:color="auto"/>
        <w:bottom w:val="none" w:sz="0" w:space="0" w:color="auto"/>
        <w:right w:val="none" w:sz="0" w:space="0" w:color="auto"/>
      </w:divBdr>
    </w:div>
    <w:div w:id="1460144119">
      <w:bodyDiv w:val="1"/>
      <w:marLeft w:val="0"/>
      <w:marRight w:val="0"/>
      <w:marTop w:val="0"/>
      <w:marBottom w:val="0"/>
      <w:divBdr>
        <w:top w:val="none" w:sz="0" w:space="0" w:color="auto"/>
        <w:left w:val="none" w:sz="0" w:space="0" w:color="auto"/>
        <w:bottom w:val="none" w:sz="0" w:space="0" w:color="auto"/>
        <w:right w:val="none" w:sz="0" w:space="0" w:color="auto"/>
      </w:divBdr>
    </w:div>
    <w:div w:id="1475755839">
      <w:bodyDiv w:val="1"/>
      <w:marLeft w:val="0"/>
      <w:marRight w:val="0"/>
      <w:marTop w:val="0"/>
      <w:marBottom w:val="0"/>
      <w:divBdr>
        <w:top w:val="none" w:sz="0" w:space="0" w:color="auto"/>
        <w:left w:val="none" w:sz="0" w:space="0" w:color="auto"/>
        <w:bottom w:val="none" w:sz="0" w:space="0" w:color="auto"/>
        <w:right w:val="none" w:sz="0" w:space="0" w:color="auto"/>
      </w:divBdr>
    </w:div>
    <w:div w:id="1546520533">
      <w:bodyDiv w:val="1"/>
      <w:marLeft w:val="0"/>
      <w:marRight w:val="0"/>
      <w:marTop w:val="0"/>
      <w:marBottom w:val="0"/>
      <w:divBdr>
        <w:top w:val="none" w:sz="0" w:space="0" w:color="auto"/>
        <w:left w:val="none" w:sz="0" w:space="0" w:color="auto"/>
        <w:bottom w:val="none" w:sz="0" w:space="0" w:color="auto"/>
        <w:right w:val="none" w:sz="0" w:space="0" w:color="auto"/>
      </w:divBdr>
    </w:div>
    <w:div w:id="1729257303">
      <w:bodyDiv w:val="1"/>
      <w:marLeft w:val="0"/>
      <w:marRight w:val="0"/>
      <w:marTop w:val="0"/>
      <w:marBottom w:val="0"/>
      <w:divBdr>
        <w:top w:val="none" w:sz="0" w:space="0" w:color="auto"/>
        <w:left w:val="none" w:sz="0" w:space="0" w:color="auto"/>
        <w:bottom w:val="none" w:sz="0" w:space="0" w:color="auto"/>
        <w:right w:val="none" w:sz="0" w:space="0" w:color="auto"/>
      </w:divBdr>
    </w:div>
    <w:div w:id="1761095184">
      <w:bodyDiv w:val="1"/>
      <w:marLeft w:val="0"/>
      <w:marRight w:val="0"/>
      <w:marTop w:val="0"/>
      <w:marBottom w:val="0"/>
      <w:divBdr>
        <w:top w:val="none" w:sz="0" w:space="0" w:color="auto"/>
        <w:left w:val="none" w:sz="0" w:space="0" w:color="auto"/>
        <w:bottom w:val="none" w:sz="0" w:space="0" w:color="auto"/>
        <w:right w:val="none" w:sz="0" w:space="0" w:color="auto"/>
      </w:divBdr>
    </w:div>
    <w:div w:id="1883010506">
      <w:bodyDiv w:val="1"/>
      <w:marLeft w:val="0"/>
      <w:marRight w:val="0"/>
      <w:marTop w:val="0"/>
      <w:marBottom w:val="0"/>
      <w:divBdr>
        <w:top w:val="none" w:sz="0" w:space="0" w:color="auto"/>
        <w:left w:val="none" w:sz="0" w:space="0" w:color="auto"/>
        <w:bottom w:val="none" w:sz="0" w:space="0" w:color="auto"/>
        <w:right w:val="none" w:sz="0" w:space="0" w:color="auto"/>
      </w:divBdr>
    </w:div>
    <w:div w:id="1921019370">
      <w:bodyDiv w:val="1"/>
      <w:marLeft w:val="0"/>
      <w:marRight w:val="0"/>
      <w:marTop w:val="0"/>
      <w:marBottom w:val="0"/>
      <w:divBdr>
        <w:top w:val="none" w:sz="0" w:space="0" w:color="auto"/>
        <w:left w:val="none" w:sz="0" w:space="0" w:color="auto"/>
        <w:bottom w:val="none" w:sz="0" w:space="0" w:color="auto"/>
        <w:right w:val="none" w:sz="0" w:space="0" w:color="auto"/>
      </w:divBdr>
      <w:divsChild>
        <w:div w:id="1181895481">
          <w:marLeft w:val="0"/>
          <w:marRight w:val="0"/>
          <w:marTop w:val="0"/>
          <w:marBottom w:val="0"/>
          <w:divBdr>
            <w:top w:val="none" w:sz="0" w:space="0" w:color="auto"/>
            <w:left w:val="none" w:sz="0" w:space="0" w:color="auto"/>
            <w:bottom w:val="none" w:sz="0" w:space="0" w:color="auto"/>
            <w:right w:val="none" w:sz="0" w:space="0" w:color="auto"/>
          </w:divBdr>
        </w:div>
        <w:div w:id="1963270396">
          <w:marLeft w:val="0"/>
          <w:marRight w:val="0"/>
          <w:marTop w:val="0"/>
          <w:marBottom w:val="0"/>
          <w:divBdr>
            <w:top w:val="none" w:sz="0" w:space="0" w:color="auto"/>
            <w:left w:val="none" w:sz="0" w:space="0" w:color="auto"/>
            <w:bottom w:val="none" w:sz="0" w:space="0" w:color="auto"/>
            <w:right w:val="none" w:sz="0" w:space="0" w:color="auto"/>
          </w:divBdr>
        </w:div>
      </w:divsChild>
    </w:div>
    <w:div w:id="1951936211">
      <w:bodyDiv w:val="1"/>
      <w:marLeft w:val="0"/>
      <w:marRight w:val="0"/>
      <w:marTop w:val="0"/>
      <w:marBottom w:val="0"/>
      <w:divBdr>
        <w:top w:val="none" w:sz="0" w:space="0" w:color="auto"/>
        <w:left w:val="none" w:sz="0" w:space="0" w:color="auto"/>
        <w:bottom w:val="none" w:sz="0" w:space="0" w:color="auto"/>
        <w:right w:val="none" w:sz="0" w:space="0" w:color="auto"/>
      </w:divBdr>
      <w:divsChild>
        <w:div w:id="1577282380">
          <w:marLeft w:val="0"/>
          <w:marRight w:val="0"/>
          <w:marTop w:val="0"/>
          <w:marBottom w:val="0"/>
          <w:divBdr>
            <w:top w:val="none" w:sz="0" w:space="0" w:color="auto"/>
            <w:left w:val="none" w:sz="0" w:space="0" w:color="auto"/>
            <w:bottom w:val="none" w:sz="0" w:space="0" w:color="auto"/>
            <w:right w:val="none" w:sz="0" w:space="0" w:color="auto"/>
          </w:divBdr>
        </w:div>
        <w:div w:id="2045401961">
          <w:marLeft w:val="0"/>
          <w:marRight w:val="0"/>
          <w:marTop w:val="0"/>
          <w:marBottom w:val="0"/>
          <w:divBdr>
            <w:top w:val="none" w:sz="0" w:space="0" w:color="auto"/>
            <w:left w:val="none" w:sz="0" w:space="0" w:color="auto"/>
            <w:bottom w:val="none" w:sz="0" w:space="0" w:color="auto"/>
            <w:right w:val="none" w:sz="0" w:space="0" w:color="auto"/>
          </w:divBdr>
        </w:div>
      </w:divsChild>
    </w:div>
    <w:div w:id="1989163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riedel@hankookreifen.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BFC0C-4F74-42E0-96A3-957796D37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5600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6476</CharactersWithSpaces>
  <SharedDoc>false</SharedDoc>
  <HLinks>
    <vt:vector size="18" baseType="variant">
      <vt:variant>
        <vt:i4>7602190</vt:i4>
      </vt:variant>
      <vt:variant>
        <vt:i4>6</vt:i4>
      </vt:variant>
      <vt:variant>
        <vt:i4>0</vt:i4>
      </vt:variant>
      <vt:variant>
        <vt:i4>5</vt:i4>
      </vt:variant>
      <vt:variant>
        <vt:lpwstr>mailto:f.kinzer@hankookreifen.de</vt:lpwstr>
      </vt:variant>
      <vt:variant>
        <vt:lpwstr/>
      </vt:variant>
      <vt:variant>
        <vt:i4>3014757</vt:i4>
      </vt:variant>
      <vt:variant>
        <vt:i4>3</vt:i4>
      </vt:variant>
      <vt:variant>
        <vt:i4>0</vt:i4>
      </vt:variant>
      <vt:variant>
        <vt:i4>5</vt:i4>
      </vt:variant>
      <vt:variant>
        <vt:lpwstr>http://www.hankooktire-eu.com/</vt:lpwstr>
      </vt:variant>
      <vt:variant>
        <vt:lpwstr/>
      </vt:variant>
      <vt:variant>
        <vt:i4>5046366</vt:i4>
      </vt:variant>
      <vt:variant>
        <vt:i4>0</vt:i4>
      </vt:variant>
      <vt:variant>
        <vt:i4>0</vt:i4>
      </vt:variant>
      <vt:variant>
        <vt:i4>5</vt:i4>
      </vt:variant>
      <vt:variant>
        <vt:lpwstr>http://www.hankooktire-press.com/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6</cp:revision>
  <cp:lastPrinted>2016-06-15T13:21:00Z</cp:lastPrinted>
  <dcterms:created xsi:type="dcterms:W3CDTF">2017-02-13T14:47:00Z</dcterms:created>
  <dcterms:modified xsi:type="dcterms:W3CDTF">2017-02-13T21:45:00Z</dcterms:modified>
</cp:coreProperties>
</file>